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176" w:type="dxa"/>
        <w:tblLayout w:type="fixed"/>
        <w:tblLook w:val="0000" w:firstRow="0" w:lastRow="0" w:firstColumn="0" w:lastColumn="0" w:noHBand="0" w:noVBand="0"/>
      </w:tblPr>
      <w:tblGrid>
        <w:gridCol w:w="6644"/>
        <w:gridCol w:w="19"/>
        <w:gridCol w:w="3402"/>
      </w:tblGrid>
      <w:tr w:rsidR="00C21BA5" w:rsidRPr="003B5B22" w14:paraId="6CFB6231" w14:textId="77777777" w:rsidTr="00555F88">
        <w:trPr>
          <w:cantSplit/>
          <w:trHeight w:val="718"/>
        </w:trPr>
        <w:tc>
          <w:tcPr>
            <w:tcW w:w="6644" w:type="dxa"/>
            <w:tcBorders>
              <w:bottom w:val="single" w:sz="2" w:space="0" w:color="auto"/>
            </w:tcBorders>
          </w:tcPr>
          <w:p w14:paraId="3925AD53" w14:textId="77777777" w:rsidR="00C21BA5" w:rsidRPr="003B5B22" w:rsidRDefault="00C21BA5" w:rsidP="00555F88">
            <w:pPr>
              <w:tabs>
                <w:tab w:val="left" w:pos="624"/>
                <w:tab w:val="left" w:pos="1247"/>
                <w:tab w:val="left" w:pos="1871"/>
                <w:tab w:val="left" w:pos="2495"/>
                <w:tab w:val="left" w:pos="3119"/>
              </w:tabs>
              <w:rPr>
                <w:lang w:val="en-GB"/>
              </w:rPr>
            </w:pPr>
            <w:r w:rsidRPr="003B5B22">
              <w:rPr>
                <w:noProof/>
                <w:lang w:val="en-GB"/>
              </w:rPr>
              <w:drawing>
                <wp:inline distT="0" distB="0" distL="0" distR="0" wp14:anchorId="256BB053" wp14:editId="2F582C81">
                  <wp:extent cx="1000125" cy="457200"/>
                  <wp:effectExtent l="0" t="0" r="9525" b="0"/>
                  <wp:docPr id="1" name="Picture 2" descr="2logos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logos_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457200"/>
                          </a:xfrm>
                          <a:prstGeom prst="rect">
                            <a:avLst/>
                          </a:prstGeom>
                          <a:noFill/>
                          <a:ln>
                            <a:noFill/>
                          </a:ln>
                        </pic:spPr>
                      </pic:pic>
                    </a:graphicData>
                  </a:graphic>
                </wp:inline>
              </w:drawing>
            </w:r>
          </w:p>
        </w:tc>
        <w:tc>
          <w:tcPr>
            <w:tcW w:w="3421" w:type="dxa"/>
            <w:gridSpan w:val="2"/>
            <w:tcBorders>
              <w:bottom w:val="single" w:sz="2" w:space="0" w:color="auto"/>
            </w:tcBorders>
          </w:tcPr>
          <w:p w14:paraId="75771FEB" w14:textId="77777777" w:rsidR="00C21BA5" w:rsidRPr="003B5B22" w:rsidRDefault="00C21BA5" w:rsidP="00555F88">
            <w:pPr>
              <w:pStyle w:val="Heading2"/>
              <w:tabs>
                <w:tab w:val="left" w:pos="624"/>
                <w:tab w:val="left" w:pos="1247"/>
                <w:tab w:val="left" w:pos="1871"/>
                <w:tab w:val="left" w:pos="2495"/>
                <w:tab w:val="left" w:pos="3119"/>
              </w:tabs>
              <w:rPr>
                <w:rFonts w:ascii="Times New Roman" w:hAnsi="Times New Roman" w:cs="Times New Roman"/>
                <w:sz w:val="20"/>
              </w:rPr>
            </w:pPr>
          </w:p>
          <w:p w14:paraId="7610613F" w14:textId="77777777" w:rsidR="00C21BA5" w:rsidRPr="003B5B22" w:rsidRDefault="00C21BA5" w:rsidP="00555F88">
            <w:pPr>
              <w:tabs>
                <w:tab w:val="left" w:pos="624"/>
                <w:tab w:val="left" w:pos="1247"/>
                <w:tab w:val="left" w:pos="1871"/>
                <w:tab w:val="left" w:pos="2495"/>
                <w:tab w:val="left" w:pos="3119"/>
              </w:tabs>
              <w:rPr>
                <w:rFonts w:ascii="Times New Roman" w:hAnsi="Times New Roman" w:cs="Times New Roman"/>
                <w:lang w:val="en-GB"/>
              </w:rPr>
            </w:pPr>
          </w:p>
          <w:p w14:paraId="6D6F96DC" w14:textId="77777777" w:rsidR="00C21BA5" w:rsidRPr="003B5B22" w:rsidRDefault="00C21BA5" w:rsidP="00E5162E">
            <w:pPr>
              <w:tabs>
                <w:tab w:val="left" w:pos="624"/>
                <w:tab w:val="left" w:pos="1247"/>
                <w:tab w:val="left" w:pos="1871"/>
                <w:tab w:val="left" w:pos="2495"/>
                <w:tab w:val="left" w:pos="3119"/>
              </w:tabs>
              <w:spacing w:after="0"/>
              <w:rPr>
                <w:rFonts w:ascii="Times New Roman" w:hAnsi="Times New Roman" w:cs="Times New Roman"/>
                <w:lang w:val="en-GB"/>
              </w:rPr>
            </w:pPr>
            <w:r w:rsidRPr="003B5B22">
              <w:rPr>
                <w:rFonts w:ascii="Times New Roman" w:hAnsi="Times New Roman" w:cs="Times New Roman"/>
                <w:b/>
                <w:lang w:val="en-GB"/>
              </w:rPr>
              <w:t>SAICM</w:t>
            </w:r>
            <w:r w:rsidRPr="003B5B22">
              <w:rPr>
                <w:rFonts w:ascii="Times New Roman" w:hAnsi="Times New Roman" w:cs="Times New Roman"/>
                <w:lang w:val="en-GB"/>
              </w:rPr>
              <w:t>/ICCM.5/Bureau.</w:t>
            </w:r>
            <w:r w:rsidR="00FB2C21" w:rsidRPr="003B5B22">
              <w:rPr>
                <w:rFonts w:ascii="Times New Roman" w:hAnsi="Times New Roman" w:cs="Times New Roman"/>
                <w:lang w:val="en-GB"/>
              </w:rPr>
              <w:t>2</w:t>
            </w:r>
            <w:r w:rsidRPr="003B5B22">
              <w:rPr>
                <w:rFonts w:ascii="Times New Roman" w:hAnsi="Times New Roman" w:cs="Times New Roman"/>
                <w:lang w:val="en-GB"/>
              </w:rPr>
              <w:t>/</w:t>
            </w:r>
            <w:r w:rsidR="00E5162E">
              <w:rPr>
                <w:rFonts w:ascii="Times New Roman" w:hAnsi="Times New Roman" w:cs="Times New Roman"/>
                <w:lang w:val="en-GB"/>
              </w:rPr>
              <w:t>4</w:t>
            </w:r>
          </w:p>
        </w:tc>
      </w:tr>
      <w:tr w:rsidR="00C21BA5" w:rsidRPr="003B5B22" w14:paraId="5EA7C418" w14:textId="77777777" w:rsidTr="00555F88">
        <w:trPr>
          <w:cantSplit/>
          <w:trHeight w:val="2275"/>
        </w:trPr>
        <w:tc>
          <w:tcPr>
            <w:tcW w:w="6663" w:type="dxa"/>
            <w:gridSpan w:val="2"/>
            <w:tcBorders>
              <w:top w:val="single" w:sz="2" w:space="0" w:color="auto"/>
              <w:bottom w:val="single" w:sz="24" w:space="0" w:color="auto"/>
            </w:tcBorders>
          </w:tcPr>
          <w:p w14:paraId="02F2DDC7" w14:textId="77777777" w:rsidR="00C21BA5" w:rsidRPr="003B5B22" w:rsidRDefault="00C21BA5" w:rsidP="00555F88">
            <w:pPr>
              <w:pStyle w:val="Heading3"/>
              <w:tabs>
                <w:tab w:val="left" w:pos="624"/>
                <w:tab w:val="left" w:pos="1247"/>
                <w:tab w:val="left" w:pos="1871"/>
                <w:tab w:val="left" w:pos="2495"/>
                <w:tab w:val="left" w:pos="3119"/>
              </w:tabs>
              <w:rPr>
                <w:sz w:val="24"/>
              </w:rPr>
            </w:pPr>
          </w:p>
          <w:p w14:paraId="3A32C507" w14:textId="77777777" w:rsidR="00C21BA5" w:rsidRPr="003B5B22" w:rsidRDefault="00C21BA5" w:rsidP="00555F88">
            <w:pPr>
              <w:tabs>
                <w:tab w:val="left" w:pos="624"/>
                <w:tab w:val="left" w:pos="1247"/>
                <w:tab w:val="left" w:pos="1871"/>
                <w:tab w:val="left" w:pos="2495"/>
                <w:tab w:val="left" w:pos="3119"/>
              </w:tabs>
              <w:rPr>
                <w:lang w:val="en-GB"/>
              </w:rPr>
            </w:pPr>
          </w:p>
          <w:p w14:paraId="48BD7E0E" w14:textId="77777777" w:rsidR="00C21BA5" w:rsidRPr="003B5B22" w:rsidRDefault="00C21BA5" w:rsidP="00555F88">
            <w:pPr>
              <w:tabs>
                <w:tab w:val="left" w:pos="624"/>
                <w:tab w:val="left" w:pos="1247"/>
                <w:tab w:val="left" w:pos="1871"/>
                <w:tab w:val="left" w:pos="2495"/>
                <w:tab w:val="left" w:pos="3119"/>
              </w:tabs>
              <w:rPr>
                <w:lang w:val="en-GB"/>
              </w:rPr>
            </w:pPr>
          </w:p>
          <w:p w14:paraId="2899A7C5" w14:textId="77777777" w:rsidR="00C21BA5" w:rsidRPr="003B5B22" w:rsidRDefault="00C21BA5" w:rsidP="00555F88">
            <w:pPr>
              <w:tabs>
                <w:tab w:val="left" w:pos="624"/>
                <w:tab w:val="left" w:pos="1247"/>
                <w:tab w:val="left" w:pos="1871"/>
                <w:tab w:val="left" w:pos="2495"/>
                <w:tab w:val="left" w:pos="3119"/>
              </w:tabs>
              <w:rPr>
                <w:lang w:val="en-GB"/>
              </w:rPr>
            </w:pPr>
            <w:r w:rsidRPr="003B5B22">
              <w:rPr>
                <w:noProof/>
                <w:lang w:val="en-GB"/>
              </w:rPr>
              <w:drawing>
                <wp:inline distT="0" distB="0" distL="0" distR="0" wp14:anchorId="64B02E39" wp14:editId="55EA26FC">
                  <wp:extent cx="2466975" cy="400050"/>
                  <wp:effectExtent l="0" t="0" r="9525" b="0"/>
                  <wp:docPr id="2" name="Picture 1"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t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6975" cy="400050"/>
                          </a:xfrm>
                          <a:prstGeom prst="rect">
                            <a:avLst/>
                          </a:prstGeom>
                          <a:noFill/>
                          <a:ln>
                            <a:noFill/>
                          </a:ln>
                        </pic:spPr>
                      </pic:pic>
                    </a:graphicData>
                  </a:graphic>
                </wp:inline>
              </w:drawing>
            </w:r>
          </w:p>
        </w:tc>
        <w:tc>
          <w:tcPr>
            <w:tcW w:w="3402" w:type="dxa"/>
            <w:tcBorders>
              <w:top w:val="single" w:sz="2" w:space="0" w:color="auto"/>
              <w:bottom w:val="single" w:sz="24" w:space="0" w:color="auto"/>
            </w:tcBorders>
          </w:tcPr>
          <w:p w14:paraId="29C5EB63" w14:textId="77777777" w:rsidR="00C21BA5" w:rsidRPr="003B5B22" w:rsidRDefault="00C21BA5" w:rsidP="00555F88">
            <w:pPr>
              <w:tabs>
                <w:tab w:val="left" w:pos="624"/>
                <w:tab w:val="left" w:pos="1247"/>
                <w:tab w:val="left" w:pos="1871"/>
                <w:tab w:val="left" w:pos="2495"/>
                <w:tab w:val="left" w:pos="3119"/>
              </w:tabs>
              <w:rPr>
                <w:rFonts w:ascii="Times New Roman" w:hAnsi="Times New Roman" w:cs="Times New Roman"/>
                <w:lang w:val="en-GB"/>
              </w:rPr>
            </w:pPr>
          </w:p>
          <w:p w14:paraId="28E3FEFF" w14:textId="77777777" w:rsidR="00C21BA5" w:rsidRPr="003B5B22" w:rsidRDefault="00C21BA5" w:rsidP="00555F88">
            <w:pPr>
              <w:tabs>
                <w:tab w:val="left" w:pos="624"/>
                <w:tab w:val="left" w:pos="1247"/>
                <w:tab w:val="left" w:pos="1871"/>
                <w:tab w:val="left" w:pos="2495"/>
                <w:tab w:val="left" w:pos="3119"/>
              </w:tabs>
              <w:spacing w:after="0" w:line="240" w:lineRule="auto"/>
              <w:rPr>
                <w:rFonts w:ascii="Times New Roman" w:hAnsi="Times New Roman" w:cs="Times New Roman"/>
                <w:sz w:val="20"/>
                <w:szCs w:val="20"/>
                <w:lang w:val="en-GB"/>
              </w:rPr>
            </w:pPr>
            <w:r w:rsidRPr="003B5B22">
              <w:rPr>
                <w:rFonts w:ascii="Times New Roman" w:hAnsi="Times New Roman" w:cs="Times New Roman"/>
                <w:sz w:val="20"/>
                <w:szCs w:val="20"/>
                <w:lang w:val="en-GB"/>
              </w:rPr>
              <w:t>Distr.: General</w:t>
            </w:r>
          </w:p>
          <w:p w14:paraId="4DBA41CC" w14:textId="77777777" w:rsidR="00C21BA5" w:rsidRPr="003B5B22" w:rsidRDefault="00DE5B2B" w:rsidP="00DE5B2B">
            <w:pPr>
              <w:tabs>
                <w:tab w:val="left" w:pos="624"/>
                <w:tab w:val="left" w:pos="1247"/>
                <w:tab w:val="left" w:pos="1871"/>
                <w:tab w:val="left" w:pos="2495"/>
                <w:tab w:val="left" w:pos="3119"/>
              </w:tabs>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22</w:t>
            </w:r>
            <w:r w:rsidR="00FB2C21" w:rsidRPr="003B5B22">
              <w:rPr>
                <w:rFonts w:ascii="Times New Roman" w:hAnsi="Times New Roman" w:cs="Times New Roman"/>
                <w:sz w:val="20"/>
                <w:szCs w:val="20"/>
                <w:lang w:val="en-GB"/>
              </w:rPr>
              <w:t xml:space="preserve"> November</w:t>
            </w:r>
            <w:r w:rsidR="00C21BA5" w:rsidRPr="003B5B22">
              <w:rPr>
                <w:rFonts w:ascii="Times New Roman" w:hAnsi="Times New Roman" w:cs="Times New Roman"/>
                <w:sz w:val="20"/>
                <w:szCs w:val="20"/>
                <w:lang w:val="en-GB"/>
              </w:rPr>
              <w:t xml:space="preserve"> 2016</w:t>
            </w:r>
          </w:p>
          <w:p w14:paraId="7D7AFBAF" w14:textId="77777777" w:rsidR="00C21BA5" w:rsidRPr="003B5B22" w:rsidRDefault="00C21BA5" w:rsidP="00555F88">
            <w:pPr>
              <w:tabs>
                <w:tab w:val="left" w:pos="624"/>
                <w:tab w:val="left" w:pos="1247"/>
                <w:tab w:val="left" w:pos="1871"/>
                <w:tab w:val="left" w:pos="2495"/>
                <w:tab w:val="left" w:pos="3119"/>
              </w:tabs>
              <w:spacing w:after="0" w:line="240" w:lineRule="auto"/>
              <w:rPr>
                <w:rFonts w:ascii="Times New Roman" w:hAnsi="Times New Roman" w:cs="Times New Roman"/>
                <w:lang w:val="en-GB"/>
              </w:rPr>
            </w:pPr>
          </w:p>
          <w:p w14:paraId="72165AD6" w14:textId="77777777" w:rsidR="00C21BA5" w:rsidRPr="003B5B22" w:rsidRDefault="00C21BA5" w:rsidP="00555F88">
            <w:pPr>
              <w:tabs>
                <w:tab w:val="left" w:pos="624"/>
                <w:tab w:val="left" w:pos="1247"/>
                <w:tab w:val="left" w:pos="1871"/>
                <w:tab w:val="left" w:pos="2495"/>
                <w:tab w:val="left" w:pos="3119"/>
              </w:tabs>
              <w:spacing w:after="0" w:line="240" w:lineRule="auto"/>
              <w:rPr>
                <w:rFonts w:ascii="Times New Roman" w:hAnsi="Times New Roman" w:cs="Times New Roman"/>
                <w:lang w:val="en-GB"/>
              </w:rPr>
            </w:pPr>
            <w:r w:rsidRPr="003B5B22">
              <w:rPr>
                <w:rFonts w:ascii="Times New Roman" w:hAnsi="Times New Roman" w:cs="Times New Roman"/>
                <w:lang w:val="en-GB"/>
              </w:rPr>
              <w:t>English only</w:t>
            </w:r>
          </w:p>
        </w:tc>
      </w:tr>
    </w:tbl>
    <w:p w14:paraId="651AAC66" w14:textId="77777777" w:rsidR="00C21BA5" w:rsidRPr="003B5B22" w:rsidRDefault="00FB2C21" w:rsidP="00FB2C21">
      <w:pPr>
        <w:spacing w:after="0" w:line="240" w:lineRule="auto"/>
        <w:rPr>
          <w:rFonts w:ascii="Times New Roman" w:hAnsi="Times New Roman" w:cs="Times New Roman"/>
          <w:b/>
          <w:bCs/>
          <w:lang w:val="en-GB"/>
        </w:rPr>
      </w:pPr>
      <w:r w:rsidRPr="003B5B22">
        <w:rPr>
          <w:rFonts w:ascii="Times New Roman" w:hAnsi="Times New Roman" w:cs="Times New Roman"/>
          <w:b/>
          <w:bCs/>
          <w:lang w:val="en-GB"/>
        </w:rPr>
        <w:t xml:space="preserve">Second </w:t>
      </w:r>
      <w:r w:rsidR="00C21BA5" w:rsidRPr="003B5B22">
        <w:rPr>
          <w:rFonts w:ascii="Times New Roman" w:hAnsi="Times New Roman" w:cs="Times New Roman"/>
          <w:b/>
          <w:bCs/>
          <w:lang w:val="en-GB"/>
        </w:rPr>
        <w:t xml:space="preserve">meeting of the Bureau of the </w:t>
      </w:r>
    </w:p>
    <w:p w14:paraId="4B54C389" w14:textId="77777777" w:rsidR="00C21BA5" w:rsidRPr="003B5B22" w:rsidRDefault="00C21BA5" w:rsidP="00C21BA5">
      <w:pPr>
        <w:spacing w:after="0" w:line="240" w:lineRule="auto"/>
        <w:rPr>
          <w:rFonts w:ascii="Times New Roman" w:hAnsi="Times New Roman" w:cs="Times New Roman"/>
          <w:b/>
          <w:bCs/>
          <w:lang w:val="en-GB"/>
        </w:rPr>
      </w:pPr>
      <w:r w:rsidRPr="003B5B22">
        <w:rPr>
          <w:rFonts w:ascii="Times New Roman" w:hAnsi="Times New Roman" w:cs="Times New Roman"/>
          <w:b/>
          <w:bCs/>
          <w:lang w:val="en-GB"/>
        </w:rPr>
        <w:t xml:space="preserve">International Conference on Chemicals Management for its fifth session </w:t>
      </w:r>
    </w:p>
    <w:p w14:paraId="0DDE29A0" w14:textId="77777777" w:rsidR="00C21BA5" w:rsidRPr="003B5B22" w:rsidRDefault="00D267E7" w:rsidP="00D267E7">
      <w:pPr>
        <w:spacing w:after="0" w:line="240" w:lineRule="auto"/>
        <w:rPr>
          <w:rFonts w:ascii="Times New Roman" w:hAnsi="Times New Roman" w:cs="Times New Roman"/>
          <w:lang w:val="en-GB"/>
        </w:rPr>
      </w:pPr>
      <w:r>
        <w:rPr>
          <w:rFonts w:ascii="Times New Roman" w:hAnsi="Times New Roman" w:cs="Times New Roman"/>
          <w:lang w:val="en-GB"/>
        </w:rPr>
        <w:t>Sao Paulo</w:t>
      </w:r>
      <w:r w:rsidR="002D7BE3" w:rsidRPr="003B5B22">
        <w:rPr>
          <w:rFonts w:ascii="Times New Roman" w:hAnsi="Times New Roman" w:cs="Times New Roman"/>
          <w:lang w:val="en-GB"/>
        </w:rPr>
        <w:t>, Brazil</w:t>
      </w:r>
    </w:p>
    <w:p w14:paraId="1EEFA436" w14:textId="77777777" w:rsidR="00C21BA5" w:rsidRPr="003B5B22" w:rsidRDefault="00FB2C21" w:rsidP="00FB2C21">
      <w:pPr>
        <w:spacing w:after="0" w:line="240" w:lineRule="auto"/>
        <w:rPr>
          <w:rFonts w:ascii="Times New Roman" w:hAnsi="Times New Roman" w:cs="Times New Roman"/>
          <w:lang w:val="en-GB"/>
        </w:rPr>
      </w:pPr>
      <w:r w:rsidRPr="003B5B22">
        <w:rPr>
          <w:rFonts w:ascii="Times New Roman" w:hAnsi="Times New Roman" w:cs="Times New Roman"/>
          <w:lang w:val="en-GB"/>
        </w:rPr>
        <w:t xml:space="preserve">7-8 December </w:t>
      </w:r>
      <w:r w:rsidR="00C21BA5" w:rsidRPr="003B5B22">
        <w:rPr>
          <w:rFonts w:ascii="Times New Roman" w:hAnsi="Times New Roman" w:cs="Times New Roman"/>
          <w:lang w:val="en-GB"/>
        </w:rPr>
        <w:t>2016</w:t>
      </w:r>
    </w:p>
    <w:p w14:paraId="6A7B7139" w14:textId="77777777" w:rsidR="00C21BA5" w:rsidRPr="00E5162E" w:rsidRDefault="00A9404C" w:rsidP="00E5162E">
      <w:pPr>
        <w:tabs>
          <w:tab w:val="left" w:pos="624"/>
          <w:tab w:val="left" w:pos="1247"/>
          <w:tab w:val="left" w:pos="1871"/>
          <w:tab w:val="left" w:pos="2495"/>
          <w:tab w:val="left" w:pos="3119"/>
        </w:tabs>
        <w:spacing w:before="60" w:after="0" w:line="240" w:lineRule="auto"/>
        <w:rPr>
          <w:rFonts w:ascii="Times New Roman" w:hAnsi="Times New Roman" w:cs="Times New Roman"/>
          <w:lang w:val="en-GB"/>
        </w:rPr>
      </w:pPr>
      <w:r w:rsidRPr="00E5162E">
        <w:rPr>
          <w:rFonts w:ascii="Times New Roman" w:hAnsi="Times New Roman" w:cs="Times New Roman"/>
          <w:lang w:val="en-GB"/>
        </w:rPr>
        <w:t xml:space="preserve">Item </w:t>
      </w:r>
      <w:r w:rsidR="00DE5B2B" w:rsidRPr="00E5162E">
        <w:rPr>
          <w:rFonts w:ascii="Times New Roman" w:hAnsi="Times New Roman" w:cs="Times New Roman"/>
          <w:lang w:val="en-GB"/>
        </w:rPr>
        <w:t>5</w:t>
      </w:r>
      <w:r w:rsidR="00C21BA5" w:rsidRPr="00E5162E">
        <w:rPr>
          <w:rFonts w:ascii="Times New Roman" w:hAnsi="Times New Roman" w:cs="Times New Roman"/>
          <w:lang w:val="en-GB"/>
        </w:rPr>
        <w:t xml:space="preserve"> </w:t>
      </w:r>
      <w:r w:rsidR="00FB2C21" w:rsidRPr="00E5162E">
        <w:rPr>
          <w:rFonts w:ascii="Times New Roman" w:hAnsi="Times New Roman" w:cs="Times New Roman"/>
          <w:lang w:val="en-GB"/>
        </w:rPr>
        <w:t>(</w:t>
      </w:r>
      <w:r w:rsidR="00DE5B2B" w:rsidRPr="00E5162E">
        <w:rPr>
          <w:rFonts w:ascii="Times New Roman" w:hAnsi="Times New Roman" w:cs="Times New Roman"/>
          <w:lang w:val="en-GB"/>
        </w:rPr>
        <w:t>b</w:t>
      </w:r>
      <w:r w:rsidR="00FB2C21" w:rsidRPr="00E5162E">
        <w:rPr>
          <w:rFonts w:ascii="Times New Roman" w:hAnsi="Times New Roman" w:cs="Times New Roman"/>
          <w:lang w:val="en-GB"/>
        </w:rPr>
        <w:t xml:space="preserve">) </w:t>
      </w:r>
      <w:r w:rsidR="00DE5B2B" w:rsidRPr="00E5162E">
        <w:rPr>
          <w:rFonts w:ascii="Times New Roman" w:hAnsi="Times New Roman" w:cs="Times New Roman"/>
          <w:lang w:val="en-GB"/>
        </w:rPr>
        <w:t>(i</w:t>
      </w:r>
      <w:r w:rsidR="00E5162E" w:rsidRPr="00E5162E">
        <w:rPr>
          <w:rFonts w:ascii="Times New Roman" w:hAnsi="Times New Roman" w:cs="Times New Roman"/>
          <w:lang w:val="en-GB"/>
        </w:rPr>
        <w:t>i</w:t>
      </w:r>
      <w:r w:rsidR="00DE5B2B" w:rsidRPr="00E5162E">
        <w:rPr>
          <w:rFonts w:ascii="Times New Roman" w:hAnsi="Times New Roman" w:cs="Times New Roman"/>
          <w:lang w:val="en-GB"/>
        </w:rPr>
        <w:t xml:space="preserve">) </w:t>
      </w:r>
      <w:r w:rsidR="00C21BA5" w:rsidRPr="00E5162E">
        <w:rPr>
          <w:rFonts w:ascii="Times New Roman" w:hAnsi="Times New Roman" w:cs="Times New Roman"/>
          <w:lang w:val="en-GB"/>
        </w:rPr>
        <w:t>of the provisional agenda</w:t>
      </w:r>
      <w:r w:rsidR="00C21BA5" w:rsidRPr="00E5162E">
        <w:rPr>
          <w:rFonts w:ascii="Times New Roman" w:hAnsi="Times New Roman" w:cs="Times New Roman"/>
          <w:lang w:val="en-GB"/>
        </w:rPr>
        <w:footnoteReference w:customMarkFollows="1" w:id="1"/>
        <w:t>*</w:t>
      </w:r>
    </w:p>
    <w:p w14:paraId="1CB38E19" w14:textId="77777777" w:rsidR="00DE5B2B" w:rsidRPr="00DE5B2B" w:rsidRDefault="00DE5B2B" w:rsidP="006D3597">
      <w:pPr>
        <w:tabs>
          <w:tab w:val="left" w:pos="624"/>
          <w:tab w:val="left" w:pos="1247"/>
          <w:tab w:val="left" w:pos="1871"/>
          <w:tab w:val="left" w:pos="2495"/>
          <w:tab w:val="left" w:pos="3119"/>
        </w:tabs>
        <w:spacing w:before="60" w:after="0" w:line="240" w:lineRule="auto"/>
        <w:rPr>
          <w:rFonts w:ascii="Times New Roman" w:hAnsi="Times New Roman" w:cs="Times New Roman"/>
          <w:b/>
          <w:bCs/>
          <w:lang w:val="en-GB"/>
        </w:rPr>
      </w:pPr>
      <w:r w:rsidRPr="00E5162E">
        <w:rPr>
          <w:rFonts w:ascii="Times New Roman" w:hAnsi="Times New Roman" w:cs="Times New Roman"/>
          <w:b/>
          <w:bCs/>
          <w:lang w:val="en-GB"/>
        </w:rPr>
        <w:t>Intersessional process for considering SAICM and the sound management of chemicals and waste beyond 2020: First meeting of the intersessional process (7-9 February 2017)</w:t>
      </w:r>
    </w:p>
    <w:p w14:paraId="2F5F0842" w14:textId="77777777" w:rsidR="00FB2C21" w:rsidRPr="00DE5B2B" w:rsidRDefault="00FB2C21" w:rsidP="00A9404C">
      <w:pPr>
        <w:tabs>
          <w:tab w:val="left" w:pos="624"/>
          <w:tab w:val="left" w:pos="1247"/>
          <w:tab w:val="left" w:pos="1871"/>
          <w:tab w:val="left" w:pos="2495"/>
          <w:tab w:val="left" w:pos="3119"/>
        </w:tabs>
        <w:spacing w:before="60" w:after="0" w:line="240" w:lineRule="auto"/>
        <w:rPr>
          <w:rFonts w:ascii="Times New Roman" w:hAnsi="Times New Roman" w:cs="Times New Roman"/>
          <w:b/>
          <w:bCs/>
        </w:rPr>
      </w:pPr>
    </w:p>
    <w:p w14:paraId="6BCCA823" w14:textId="77777777" w:rsidR="00DE5B2B" w:rsidRDefault="00E5162E" w:rsidP="006D3597">
      <w:pPr>
        <w:pStyle w:val="BBTitle"/>
        <w:tabs>
          <w:tab w:val="left" w:pos="624"/>
          <w:tab w:val="left" w:pos="1247"/>
          <w:tab w:val="left" w:pos="1871"/>
          <w:tab w:val="left" w:pos="2495"/>
          <w:tab w:val="left" w:pos="3119"/>
          <w:tab w:val="left" w:pos="3742"/>
        </w:tabs>
        <w:outlineLvl w:val="0"/>
        <w:rPr>
          <w:bCs/>
          <w:szCs w:val="22"/>
        </w:rPr>
      </w:pPr>
      <w:r>
        <w:rPr>
          <w:bCs/>
          <w:szCs w:val="22"/>
        </w:rPr>
        <w:t>Inception report for the independent evaluation of the Strategic Approach from 2006 – 2015</w:t>
      </w:r>
    </w:p>
    <w:p w14:paraId="255B3097" w14:textId="77777777" w:rsidR="00C21BA5" w:rsidRPr="003B5B22" w:rsidRDefault="00C21BA5" w:rsidP="00C21BA5">
      <w:pPr>
        <w:tabs>
          <w:tab w:val="left" w:pos="624"/>
          <w:tab w:val="left" w:pos="1247"/>
          <w:tab w:val="left" w:pos="1871"/>
          <w:tab w:val="left" w:pos="2495"/>
          <w:tab w:val="left" w:pos="3119"/>
        </w:tabs>
        <w:spacing w:after="240"/>
        <w:ind w:left="1247"/>
        <w:rPr>
          <w:rFonts w:ascii="Times New Roman" w:hAnsi="Times New Roman" w:cs="Times New Roman"/>
          <w:lang w:val="en-GB"/>
        </w:rPr>
      </w:pPr>
      <w:r w:rsidRPr="003B5B22">
        <w:rPr>
          <w:rFonts w:ascii="Times New Roman" w:hAnsi="Times New Roman" w:cs="Times New Roman"/>
          <w:b/>
          <w:bCs/>
          <w:lang w:val="en-GB"/>
        </w:rPr>
        <w:t>Note by the secretariat</w:t>
      </w:r>
    </w:p>
    <w:p w14:paraId="3663DDA8" w14:textId="77777777" w:rsidR="003B5B22" w:rsidRPr="003B5B22" w:rsidRDefault="002D7BE3" w:rsidP="005C58E2">
      <w:pPr>
        <w:spacing w:after="120" w:line="240" w:lineRule="auto"/>
        <w:ind w:left="1247"/>
        <w:rPr>
          <w:rFonts w:asciiTheme="majorBidi" w:hAnsiTheme="majorBidi" w:cstheme="majorBidi"/>
          <w:lang w:val="en-GB"/>
        </w:rPr>
      </w:pPr>
      <w:r w:rsidRPr="003B5B22">
        <w:rPr>
          <w:rFonts w:ascii="Times New Roman" w:hAnsi="Times New Roman" w:cs="Times New Roman"/>
          <w:lang w:val="en-GB"/>
        </w:rPr>
        <w:t xml:space="preserve">The secretariat has the honour to circulate in the annex to the present note </w:t>
      </w:r>
      <w:r w:rsidR="00E5162E">
        <w:rPr>
          <w:rFonts w:ascii="Times New Roman" w:hAnsi="Times New Roman" w:cs="Times New Roman"/>
          <w:lang w:val="en-GB"/>
        </w:rPr>
        <w:t>the inception report for the independent evaluation of the Strategic Approach from 2006-</w:t>
      </w:r>
      <w:r w:rsidR="00E5162E" w:rsidRPr="005C58E2">
        <w:rPr>
          <w:rFonts w:ascii="Times New Roman" w:hAnsi="Times New Roman" w:cs="Times New Roman"/>
          <w:lang w:val="en-GB"/>
        </w:rPr>
        <w:t xml:space="preserve">2015.  </w:t>
      </w:r>
      <w:r w:rsidR="00DE5B2B" w:rsidRPr="005C58E2">
        <w:rPr>
          <w:rFonts w:ascii="Times New Roman" w:hAnsi="Times New Roman" w:cs="Times New Roman"/>
          <w:lang w:val="en-GB"/>
        </w:rPr>
        <w:t xml:space="preserve">The </w:t>
      </w:r>
      <w:r w:rsidR="00DE5B2B" w:rsidRPr="005C58E2">
        <w:rPr>
          <w:rFonts w:ascii="Times New Roman" w:hAnsi="Times New Roman" w:cs="Times New Roman"/>
        </w:rPr>
        <w:t xml:space="preserve">Bureau may wish to provide feedback </w:t>
      </w:r>
      <w:r w:rsidR="00E5162E" w:rsidRPr="005C58E2">
        <w:rPr>
          <w:rFonts w:ascii="Times New Roman" w:hAnsi="Times New Roman" w:cs="Times New Roman"/>
        </w:rPr>
        <w:t>to the independent evaluator on the evaluation method and process</w:t>
      </w:r>
      <w:r w:rsidR="005C58E2" w:rsidRPr="005C58E2">
        <w:rPr>
          <w:rFonts w:ascii="Times New Roman" w:hAnsi="Times New Roman" w:cs="Times New Roman"/>
        </w:rPr>
        <w:t xml:space="preserve"> as well as any other general comments on the report.</w:t>
      </w:r>
    </w:p>
    <w:p w14:paraId="303B56D7" w14:textId="77777777" w:rsidR="002D7BE3" w:rsidRPr="003B5B22" w:rsidRDefault="002D7BE3" w:rsidP="002D7BE3">
      <w:pPr>
        <w:rPr>
          <w:rFonts w:asciiTheme="majorBidi" w:hAnsiTheme="majorBidi" w:cstheme="majorBidi"/>
          <w:lang w:val="en-GB"/>
        </w:rPr>
      </w:pPr>
    </w:p>
    <w:p w14:paraId="6F7F43A7" w14:textId="77777777" w:rsidR="003B5B22" w:rsidRPr="003B5B22" w:rsidRDefault="003B5B22">
      <w:pPr>
        <w:rPr>
          <w:rFonts w:asciiTheme="majorBidi" w:hAnsiTheme="majorBidi" w:cstheme="majorBidi"/>
          <w:b/>
          <w:bCs/>
          <w:lang w:val="en-GB"/>
        </w:rPr>
      </w:pPr>
      <w:r w:rsidRPr="003B5B22">
        <w:rPr>
          <w:rFonts w:asciiTheme="majorBidi" w:hAnsiTheme="majorBidi" w:cstheme="majorBidi"/>
          <w:b/>
          <w:bCs/>
          <w:lang w:val="en-GB"/>
        </w:rPr>
        <w:br w:type="page"/>
      </w:r>
    </w:p>
    <w:p w14:paraId="00535DCD" w14:textId="77777777" w:rsidR="002D7BE3" w:rsidRPr="00F170A9" w:rsidRDefault="002D7BE3" w:rsidP="002D7BE3">
      <w:pPr>
        <w:rPr>
          <w:rFonts w:asciiTheme="majorBidi" w:hAnsiTheme="majorBidi" w:cstheme="majorBidi"/>
          <w:b/>
          <w:bCs/>
          <w:sz w:val="28"/>
          <w:szCs w:val="28"/>
          <w:lang w:val="en-GB"/>
        </w:rPr>
      </w:pPr>
      <w:r w:rsidRPr="00F170A9">
        <w:rPr>
          <w:rFonts w:asciiTheme="majorBidi" w:hAnsiTheme="majorBidi" w:cstheme="majorBidi"/>
          <w:b/>
          <w:bCs/>
          <w:sz w:val="28"/>
          <w:szCs w:val="28"/>
          <w:lang w:val="en-GB"/>
        </w:rPr>
        <w:lastRenderedPageBreak/>
        <w:t>ANNEX</w:t>
      </w:r>
    </w:p>
    <w:p w14:paraId="194225F7" w14:textId="77777777" w:rsidR="00E5162E" w:rsidRPr="00E5162E" w:rsidRDefault="00E5162E" w:rsidP="00845BE1">
      <w:pPr>
        <w:pStyle w:val="Heading1"/>
        <w:jc w:val="center"/>
        <w:rPr>
          <w:rFonts w:asciiTheme="majorBidi" w:eastAsia="SimSun" w:hAnsiTheme="majorBidi"/>
          <w:color w:val="auto"/>
          <w:kern w:val="0"/>
          <w:sz w:val="22"/>
          <w:szCs w:val="22"/>
          <w:lang w:eastAsia="zh-CN"/>
        </w:rPr>
      </w:pPr>
      <w:r w:rsidRPr="00E5162E">
        <w:rPr>
          <w:rFonts w:asciiTheme="majorBidi" w:eastAsia="SimSun" w:hAnsiTheme="majorBidi"/>
          <w:color w:val="auto"/>
          <w:kern w:val="0"/>
          <w:sz w:val="22"/>
          <w:szCs w:val="22"/>
          <w:lang w:eastAsia="zh-CN"/>
        </w:rPr>
        <w:t xml:space="preserve">Inception Report </w:t>
      </w:r>
      <w:r w:rsidR="00845BE1">
        <w:rPr>
          <w:rFonts w:asciiTheme="majorBidi" w:eastAsia="SimSun" w:hAnsiTheme="majorBidi"/>
          <w:color w:val="auto"/>
          <w:kern w:val="0"/>
          <w:sz w:val="22"/>
          <w:szCs w:val="22"/>
          <w:lang w:eastAsia="zh-CN"/>
        </w:rPr>
        <w:t xml:space="preserve">for the </w:t>
      </w:r>
      <w:r w:rsidRPr="00E5162E">
        <w:rPr>
          <w:rFonts w:asciiTheme="majorBidi" w:eastAsia="SimSun" w:hAnsiTheme="majorBidi"/>
          <w:color w:val="auto"/>
          <w:kern w:val="0"/>
          <w:sz w:val="22"/>
          <w:szCs w:val="22"/>
          <w:lang w:eastAsia="zh-CN"/>
        </w:rPr>
        <w:t>Independent Evaluation of the Strategic Approach from 2006 - 2015</w:t>
      </w:r>
    </w:p>
    <w:p w14:paraId="19B739D2" w14:textId="77777777" w:rsidR="00845BE1" w:rsidRDefault="00845BE1" w:rsidP="00E5162E">
      <w:pPr>
        <w:jc w:val="center"/>
        <w:rPr>
          <w:rFonts w:asciiTheme="majorBidi" w:hAnsiTheme="majorBidi" w:cstheme="majorBidi"/>
          <w:b/>
          <w:bCs/>
        </w:rPr>
      </w:pPr>
    </w:p>
    <w:p w14:paraId="2531DAE7" w14:textId="77777777" w:rsidR="00E5162E" w:rsidRDefault="00E5162E" w:rsidP="00E5162E">
      <w:pPr>
        <w:jc w:val="center"/>
        <w:rPr>
          <w:rFonts w:asciiTheme="majorBidi" w:hAnsiTheme="majorBidi" w:cstheme="majorBidi"/>
          <w:b/>
          <w:bCs/>
        </w:rPr>
      </w:pPr>
      <w:r w:rsidRPr="00E5162E">
        <w:rPr>
          <w:rFonts w:asciiTheme="majorBidi" w:hAnsiTheme="majorBidi" w:cstheme="majorBidi"/>
          <w:b/>
          <w:bCs/>
        </w:rPr>
        <w:t>Independent Evaluator:  Robert Nurick</w:t>
      </w:r>
    </w:p>
    <w:p w14:paraId="04A7A300" w14:textId="77777777" w:rsidR="00E5162E" w:rsidRPr="00171051" w:rsidRDefault="00E5162E" w:rsidP="00E5162E">
      <w:pPr>
        <w:rPr>
          <w:rFonts w:asciiTheme="majorBidi" w:hAnsiTheme="majorBidi" w:cstheme="majorBidi"/>
          <w:b/>
        </w:rPr>
      </w:pPr>
      <w:r w:rsidRPr="00171051">
        <w:rPr>
          <w:rFonts w:asciiTheme="majorBidi" w:hAnsiTheme="majorBidi" w:cstheme="majorBidi"/>
          <w:b/>
        </w:rPr>
        <w:t>1. Background and context</w:t>
      </w:r>
    </w:p>
    <w:p w14:paraId="2E24DCD7" w14:textId="77777777" w:rsidR="00E5162E" w:rsidRPr="00171051" w:rsidRDefault="00E5162E" w:rsidP="00E5162E">
      <w:pPr>
        <w:rPr>
          <w:rFonts w:asciiTheme="majorBidi" w:hAnsiTheme="majorBidi" w:cstheme="majorBidi"/>
        </w:rPr>
      </w:pPr>
      <w:r w:rsidRPr="00171051">
        <w:rPr>
          <w:rFonts w:asciiTheme="majorBidi" w:hAnsiTheme="majorBidi" w:cstheme="majorBidi"/>
        </w:rPr>
        <w:t>SAICM is a voluntary policy framework to foster the sound management of chemicals and wastes, and particularly to achieve the 2002 Johannesburg goal that “by 2020, chemicals are produced and used in ways that minimize significant adverse impacts on human health and the environment”. This voluntary process for international cooperation bridges international and national policy, as chemicals and wastes have significant local impacts that are not relevant for an international instrument. It also bridges the responsibilities and opportunities of all relevant stakeholders</w:t>
      </w:r>
      <w:r>
        <w:rPr>
          <w:rFonts w:asciiTheme="majorBidi" w:hAnsiTheme="majorBidi" w:cstheme="majorBidi"/>
        </w:rPr>
        <w:t xml:space="preserve">, </w:t>
      </w:r>
      <w:r w:rsidRPr="00171051">
        <w:rPr>
          <w:rFonts w:asciiTheme="majorBidi" w:hAnsiTheme="majorBidi" w:cstheme="majorBidi"/>
        </w:rPr>
        <w:t>including governments, industry and civil society.</w:t>
      </w:r>
    </w:p>
    <w:p w14:paraId="5738F387" w14:textId="77777777" w:rsidR="00E5162E" w:rsidRPr="00171051" w:rsidRDefault="00E5162E" w:rsidP="00E5162E">
      <w:pPr>
        <w:rPr>
          <w:rFonts w:asciiTheme="majorBidi" w:hAnsiTheme="majorBidi" w:cstheme="majorBidi"/>
        </w:rPr>
      </w:pPr>
      <w:r w:rsidRPr="00171051">
        <w:rPr>
          <w:rFonts w:asciiTheme="majorBidi" w:hAnsiTheme="majorBidi" w:cstheme="majorBidi"/>
        </w:rPr>
        <w:t xml:space="preserve">SAICM seeks to be broad in its remit and approach through its focus on the entire scope of chemicals management. That is, it addresses the majority of chemicals (as opposed to the limited lists of chemicals from, for example, the Stockholm and Rotterdam Conventions) including all agricultural and industrial chemicals; and all aspects of the chemical lifecycle, from generation to use and disposal. The involvement of many sectors and stakeholders are interconnected </w:t>
      </w:r>
      <w:r>
        <w:rPr>
          <w:rFonts w:asciiTheme="majorBidi" w:hAnsiTheme="majorBidi" w:cstheme="majorBidi"/>
        </w:rPr>
        <w:t>in</w:t>
      </w:r>
      <w:r w:rsidRPr="00171051">
        <w:rPr>
          <w:rFonts w:asciiTheme="majorBidi" w:hAnsiTheme="majorBidi" w:cstheme="majorBidi"/>
        </w:rPr>
        <w:t xml:space="preserve"> SAICM. </w:t>
      </w:r>
    </w:p>
    <w:p w14:paraId="3EE37090" w14:textId="77777777" w:rsidR="00E5162E" w:rsidRPr="00171051" w:rsidRDefault="00E5162E" w:rsidP="00E5162E">
      <w:pPr>
        <w:rPr>
          <w:rFonts w:asciiTheme="majorBidi" w:hAnsiTheme="majorBidi" w:cstheme="majorBidi"/>
        </w:rPr>
      </w:pPr>
      <w:r w:rsidRPr="00171051">
        <w:rPr>
          <w:rFonts w:asciiTheme="majorBidi" w:hAnsiTheme="majorBidi" w:cstheme="majorBidi"/>
        </w:rPr>
        <w:t>SAICM aims to coordinate, catalyse and facilitate action to improve management of chemicals at all levels. It is a multi-stakeholder and multi-sectoral forum that is governed by a series of ‘SAICM Documents’ composed of:</w:t>
      </w:r>
    </w:p>
    <w:p w14:paraId="36621B15" w14:textId="77777777" w:rsidR="00E5162E" w:rsidRPr="00171051" w:rsidRDefault="00E5162E" w:rsidP="00E5162E">
      <w:pPr>
        <w:pStyle w:val="ListParagraph"/>
        <w:numPr>
          <w:ilvl w:val="0"/>
          <w:numId w:val="20"/>
        </w:numPr>
        <w:spacing w:after="0" w:line="240" w:lineRule="auto"/>
        <w:rPr>
          <w:rFonts w:asciiTheme="majorBidi" w:hAnsiTheme="majorBidi" w:cstheme="majorBidi"/>
        </w:rPr>
      </w:pPr>
      <w:r w:rsidRPr="00171051">
        <w:rPr>
          <w:rFonts w:asciiTheme="majorBidi" w:hAnsiTheme="majorBidi" w:cstheme="majorBidi"/>
        </w:rPr>
        <w:t xml:space="preserve">Dubai </w:t>
      </w:r>
      <w:r>
        <w:rPr>
          <w:rFonts w:asciiTheme="majorBidi" w:hAnsiTheme="majorBidi" w:cstheme="majorBidi"/>
        </w:rPr>
        <w:t>D</w:t>
      </w:r>
      <w:r w:rsidRPr="00171051">
        <w:rPr>
          <w:rFonts w:asciiTheme="majorBidi" w:hAnsiTheme="majorBidi" w:cstheme="majorBidi"/>
        </w:rPr>
        <w:t>eclaration</w:t>
      </w:r>
      <w:r>
        <w:rPr>
          <w:rFonts w:asciiTheme="majorBidi" w:hAnsiTheme="majorBidi" w:cstheme="majorBidi"/>
        </w:rPr>
        <w:t>;</w:t>
      </w:r>
    </w:p>
    <w:p w14:paraId="6CB5B524" w14:textId="77777777" w:rsidR="00E5162E" w:rsidRPr="00171051" w:rsidRDefault="00E5162E" w:rsidP="00E5162E">
      <w:pPr>
        <w:pStyle w:val="ListParagraph"/>
        <w:numPr>
          <w:ilvl w:val="0"/>
          <w:numId w:val="20"/>
        </w:numPr>
        <w:spacing w:after="0" w:line="240" w:lineRule="auto"/>
        <w:rPr>
          <w:rFonts w:asciiTheme="majorBidi" w:hAnsiTheme="majorBidi" w:cstheme="majorBidi"/>
        </w:rPr>
      </w:pPr>
      <w:r w:rsidRPr="00171051">
        <w:rPr>
          <w:rFonts w:asciiTheme="majorBidi" w:hAnsiTheme="majorBidi" w:cstheme="majorBidi"/>
        </w:rPr>
        <w:t xml:space="preserve">Overarching </w:t>
      </w:r>
      <w:r>
        <w:rPr>
          <w:rFonts w:asciiTheme="majorBidi" w:hAnsiTheme="majorBidi" w:cstheme="majorBidi"/>
        </w:rPr>
        <w:t>P</w:t>
      </w:r>
      <w:r w:rsidRPr="00171051">
        <w:rPr>
          <w:rFonts w:asciiTheme="majorBidi" w:hAnsiTheme="majorBidi" w:cstheme="majorBidi"/>
        </w:rPr>
        <w:t xml:space="preserve">olicy </w:t>
      </w:r>
      <w:r>
        <w:rPr>
          <w:rFonts w:asciiTheme="majorBidi" w:hAnsiTheme="majorBidi" w:cstheme="majorBidi"/>
        </w:rPr>
        <w:t>S</w:t>
      </w:r>
      <w:r w:rsidRPr="00171051">
        <w:rPr>
          <w:rFonts w:asciiTheme="majorBidi" w:hAnsiTheme="majorBidi" w:cstheme="majorBidi"/>
        </w:rPr>
        <w:t>trategy</w:t>
      </w:r>
      <w:r>
        <w:rPr>
          <w:rFonts w:asciiTheme="majorBidi" w:hAnsiTheme="majorBidi" w:cstheme="majorBidi"/>
        </w:rPr>
        <w:t>;</w:t>
      </w:r>
    </w:p>
    <w:p w14:paraId="11F30EFB" w14:textId="77777777" w:rsidR="00E5162E" w:rsidRPr="00171051" w:rsidRDefault="00E5162E" w:rsidP="00E5162E">
      <w:pPr>
        <w:pStyle w:val="ListParagraph"/>
        <w:numPr>
          <w:ilvl w:val="0"/>
          <w:numId w:val="20"/>
        </w:numPr>
        <w:spacing w:after="0" w:line="240" w:lineRule="auto"/>
        <w:rPr>
          <w:rFonts w:asciiTheme="majorBidi" w:hAnsiTheme="majorBidi" w:cstheme="majorBidi"/>
        </w:rPr>
      </w:pPr>
      <w:r w:rsidRPr="00171051">
        <w:rPr>
          <w:rFonts w:asciiTheme="majorBidi" w:hAnsiTheme="majorBidi" w:cstheme="majorBidi"/>
        </w:rPr>
        <w:t xml:space="preserve">Global </w:t>
      </w:r>
      <w:r>
        <w:rPr>
          <w:rFonts w:asciiTheme="majorBidi" w:hAnsiTheme="majorBidi" w:cstheme="majorBidi"/>
        </w:rPr>
        <w:t>P</w:t>
      </w:r>
      <w:r w:rsidRPr="00171051">
        <w:rPr>
          <w:rFonts w:asciiTheme="majorBidi" w:hAnsiTheme="majorBidi" w:cstheme="majorBidi"/>
        </w:rPr>
        <w:t xml:space="preserve">lan of </w:t>
      </w:r>
      <w:r>
        <w:rPr>
          <w:rFonts w:asciiTheme="majorBidi" w:hAnsiTheme="majorBidi" w:cstheme="majorBidi"/>
        </w:rPr>
        <w:t>A</w:t>
      </w:r>
      <w:r w:rsidRPr="00171051">
        <w:rPr>
          <w:rFonts w:asciiTheme="majorBidi" w:hAnsiTheme="majorBidi" w:cstheme="majorBidi"/>
        </w:rPr>
        <w:t>ction</w:t>
      </w:r>
      <w:r>
        <w:rPr>
          <w:rFonts w:asciiTheme="majorBidi" w:hAnsiTheme="majorBidi" w:cstheme="majorBidi"/>
        </w:rPr>
        <w:t>; and</w:t>
      </w:r>
    </w:p>
    <w:p w14:paraId="3492720D" w14:textId="77777777" w:rsidR="00457032" w:rsidRDefault="00E5162E" w:rsidP="00E5162E">
      <w:pPr>
        <w:pStyle w:val="ListParagraph"/>
        <w:numPr>
          <w:ilvl w:val="0"/>
          <w:numId w:val="20"/>
        </w:numPr>
        <w:spacing w:after="0" w:line="240" w:lineRule="auto"/>
        <w:rPr>
          <w:rFonts w:asciiTheme="majorBidi" w:hAnsiTheme="majorBidi" w:cstheme="majorBidi"/>
        </w:rPr>
      </w:pPr>
      <w:r w:rsidRPr="00457032">
        <w:rPr>
          <w:rFonts w:asciiTheme="majorBidi" w:hAnsiTheme="majorBidi" w:cstheme="majorBidi"/>
        </w:rPr>
        <w:t xml:space="preserve">Resolutions adopted by the ICCM, including the Overall Orientation and Guidance for achieving the 2020 goal of sound management of chemicals endorsed in 2015. </w:t>
      </w:r>
    </w:p>
    <w:p w14:paraId="712E1F68" w14:textId="77777777" w:rsidR="00457032" w:rsidRPr="00457032" w:rsidRDefault="00457032" w:rsidP="00457032">
      <w:pPr>
        <w:pStyle w:val="ListParagraph"/>
        <w:spacing w:after="0" w:line="240" w:lineRule="auto"/>
        <w:rPr>
          <w:rFonts w:asciiTheme="majorBidi" w:hAnsiTheme="majorBidi" w:cstheme="majorBidi"/>
        </w:rPr>
      </w:pPr>
    </w:p>
    <w:p w14:paraId="1177CBF3" w14:textId="77777777" w:rsidR="00E5162E" w:rsidRPr="00171051" w:rsidRDefault="00E5162E" w:rsidP="00E5162E">
      <w:pPr>
        <w:rPr>
          <w:rFonts w:asciiTheme="majorBidi" w:hAnsiTheme="majorBidi" w:cstheme="majorBidi"/>
        </w:rPr>
      </w:pPr>
      <w:r w:rsidRPr="00171051">
        <w:rPr>
          <w:rFonts w:asciiTheme="majorBidi" w:hAnsiTheme="majorBidi" w:cstheme="majorBidi"/>
        </w:rPr>
        <w:t xml:space="preserve">These </w:t>
      </w:r>
      <w:r>
        <w:rPr>
          <w:rFonts w:asciiTheme="majorBidi" w:hAnsiTheme="majorBidi" w:cstheme="majorBidi"/>
        </w:rPr>
        <w:t>“d</w:t>
      </w:r>
      <w:r w:rsidRPr="00171051">
        <w:rPr>
          <w:rFonts w:asciiTheme="majorBidi" w:hAnsiTheme="majorBidi" w:cstheme="majorBidi"/>
        </w:rPr>
        <w:t>ocuments</w:t>
      </w:r>
      <w:r>
        <w:rPr>
          <w:rFonts w:asciiTheme="majorBidi" w:hAnsiTheme="majorBidi" w:cstheme="majorBidi"/>
        </w:rPr>
        <w:t>”</w:t>
      </w:r>
      <w:r w:rsidRPr="00171051">
        <w:rPr>
          <w:rFonts w:asciiTheme="majorBidi" w:hAnsiTheme="majorBidi" w:cstheme="majorBidi"/>
        </w:rPr>
        <w:t xml:space="preserve"> all relate to the target date of 2020 as provided for by the Johannesburg World Summit on Sustainable Development. It is evident that, in the face of rapidly growing and expanding production and use of chemicals, including the anticipated transfer of significant chemical production to developing countries over the coming decades, the challenges of sound chemical</w:t>
      </w:r>
      <w:r>
        <w:rPr>
          <w:rFonts w:asciiTheme="majorBidi" w:hAnsiTheme="majorBidi" w:cstheme="majorBidi"/>
        </w:rPr>
        <w:t>s</w:t>
      </w:r>
      <w:r w:rsidRPr="00171051">
        <w:rPr>
          <w:rFonts w:asciiTheme="majorBidi" w:hAnsiTheme="majorBidi" w:cstheme="majorBidi"/>
        </w:rPr>
        <w:t xml:space="preserve"> management are constantly evolving and remain a priority for action in getting to and beyond 2020.</w:t>
      </w:r>
    </w:p>
    <w:p w14:paraId="3BD7E3CC" w14:textId="77777777" w:rsidR="00457032" w:rsidRDefault="00457032" w:rsidP="00E5162E">
      <w:pPr>
        <w:keepNext/>
        <w:keepLines/>
        <w:rPr>
          <w:rFonts w:asciiTheme="majorBidi" w:hAnsiTheme="majorBidi" w:cstheme="majorBidi"/>
          <w:b/>
        </w:rPr>
      </w:pPr>
    </w:p>
    <w:p w14:paraId="644ADDA0" w14:textId="77777777" w:rsidR="00E5162E" w:rsidRPr="00171051" w:rsidRDefault="00E5162E" w:rsidP="00E5162E">
      <w:pPr>
        <w:keepNext/>
        <w:keepLines/>
        <w:rPr>
          <w:rFonts w:asciiTheme="majorBidi" w:hAnsiTheme="majorBidi" w:cstheme="majorBidi"/>
          <w:b/>
        </w:rPr>
      </w:pPr>
      <w:r w:rsidRPr="00171051">
        <w:rPr>
          <w:rFonts w:asciiTheme="majorBidi" w:hAnsiTheme="majorBidi" w:cstheme="majorBidi"/>
          <w:b/>
        </w:rPr>
        <w:t xml:space="preserve">2. Scope of </w:t>
      </w:r>
      <w:r>
        <w:rPr>
          <w:rFonts w:asciiTheme="majorBidi" w:hAnsiTheme="majorBidi" w:cstheme="majorBidi"/>
          <w:b/>
        </w:rPr>
        <w:t xml:space="preserve">the </w:t>
      </w:r>
      <w:r w:rsidRPr="00171051">
        <w:rPr>
          <w:rFonts w:asciiTheme="majorBidi" w:hAnsiTheme="majorBidi" w:cstheme="majorBidi"/>
          <w:b/>
        </w:rPr>
        <w:t>Evaluation</w:t>
      </w:r>
    </w:p>
    <w:p w14:paraId="27253F22" w14:textId="34535360" w:rsidR="00E5162E" w:rsidRPr="00171051" w:rsidRDefault="00E5162E" w:rsidP="00AD023A">
      <w:pPr>
        <w:keepNext/>
        <w:keepLines/>
        <w:rPr>
          <w:rFonts w:asciiTheme="majorBidi" w:hAnsiTheme="majorBidi" w:cstheme="majorBidi"/>
        </w:rPr>
      </w:pPr>
      <w:r w:rsidRPr="00171051">
        <w:rPr>
          <w:rFonts w:asciiTheme="majorBidi" w:hAnsiTheme="majorBidi" w:cstheme="majorBidi"/>
        </w:rPr>
        <w:t xml:space="preserve">The terms of reference for the evaluation </w:t>
      </w:r>
      <w:r w:rsidR="006E1AA3">
        <w:rPr>
          <w:rFonts w:asciiTheme="majorBidi" w:hAnsiTheme="majorBidi" w:cstheme="majorBidi"/>
        </w:rPr>
        <w:t>are</w:t>
      </w:r>
      <w:r w:rsidRPr="00171051">
        <w:rPr>
          <w:rFonts w:asciiTheme="majorBidi" w:hAnsiTheme="majorBidi" w:cstheme="majorBidi"/>
        </w:rPr>
        <w:t xml:space="preserve"> set out in the Annex to ICCM resolution IV/4 (see Annex to this report). The scope of the evaluation together with the questions to be addressed will be finalised in collaboration with key stakeholders during the initial stages of the work.</w:t>
      </w:r>
    </w:p>
    <w:p w14:paraId="5AF3C66E" w14:textId="77777777" w:rsidR="00E5162E" w:rsidRPr="00171051" w:rsidRDefault="00E5162E" w:rsidP="00E5162E">
      <w:pPr>
        <w:rPr>
          <w:rFonts w:asciiTheme="majorBidi" w:hAnsiTheme="majorBidi" w:cstheme="majorBidi"/>
        </w:rPr>
      </w:pPr>
      <w:r w:rsidRPr="00171051">
        <w:rPr>
          <w:rFonts w:asciiTheme="majorBidi" w:hAnsiTheme="majorBidi" w:cstheme="majorBidi"/>
        </w:rPr>
        <w:t xml:space="preserve">A significant component of the evaluation will be the identification of the impacts of the Strategic Approach. This requires consideration of the counterfactual – what would have happened in regard to chemicals and waste management in the absence of the Strategic Approach. In the context of global chemicals management, this entails looking at the issues and measures already addressed by other </w:t>
      </w:r>
      <w:r>
        <w:rPr>
          <w:rFonts w:asciiTheme="majorBidi" w:hAnsiTheme="majorBidi" w:cstheme="majorBidi"/>
        </w:rPr>
        <w:lastRenderedPageBreak/>
        <w:t xml:space="preserve">policy frameworks and </w:t>
      </w:r>
      <w:r w:rsidRPr="00171051">
        <w:rPr>
          <w:rFonts w:asciiTheme="majorBidi" w:hAnsiTheme="majorBidi" w:cstheme="majorBidi"/>
        </w:rPr>
        <w:t>instruments, notably the legally binding multi-lateral environmental agreements on chemicals and waste including Basel, Stockholm and Rotterdam, but also various related conventions of the World Health Organization, the International Labor Organisation, the biodiversity</w:t>
      </w:r>
      <w:r>
        <w:rPr>
          <w:rFonts w:asciiTheme="majorBidi" w:hAnsiTheme="majorBidi" w:cstheme="majorBidi"/>
        </w:rPr>
        <w:t>-related</w:t>
      </w:r>
      <w:r w:rsidRPr="00171051">
        <w:rPr>
          <w:rFonts w:asciiTheme="majorBidi" w:hAnsiTheme="majorBidi" w:cstheme="majorBidi"/>
        </w:rPr>
        <w:t xml:space="preserve"> conventions, and the work of IOMC organisations. At the national and regional level, the influence of SAICM as a driver may be compared against other regional policy or groupings such as the relevant requirements of accession to the EU or OECD.</w:t>
      </w:r>
    </w:p>
    <w:p w14:paraId="551043F3" w14:textId="77777777" w:rsidR="00E5162E" w:rsidRPr="00130D3D" w:rsidRDefault="00E5162E" w:rsidP="00E5162E">
      <w:pPr>
        <w:rPr>
          <w:rFonts w:asciiTheme="majorBidi" w:hAnsiTheme="majorBidi" w:cstheme="majorBidi"/>
        </w:rPr>
      </w:pPr>
      <w:r w:rsidRPr="00171051">
        <w:rPr>
          <w:rFonts w:asciiTheme="majorBidi" w:hAnsiTheme="majorBidi" w:cstheme="majorBidi"/>
        </w:rPr>
        <w:t xml:space="preserve">The evaluation will assess the strengths, weaknesses and gaps in implementing the Strategic Approach, taking into account the 11 basic elements for the sound management of chemicals identified in </w:t>
      </w:r>
      <w:r w:rsidRPr="00845BE1">
        <w:rPr>
          <w:rFonts w:asciiTheme="majorBidi" w:hAnsiTheme="majorBidi" w:cstheme="majorBidi"/>
        </w:rPr>
        <w:t xml:space="preserve">the </w:t>
      </w:r>
      <w:r w:rsidRPr="00130D3D">
        <w:rPr>
          <w:rFonts w:asciiTheme="majorBidi" w:hAnsiTheme="majorBidi" w:cstheme="majorBidi"/>
        </w:rPr>
        <w:t xml:space="preserve">Overall Orientation and Guidance. This will include reviewing the: </w:t>
      </w:r>
    </w:p>
    <w:p w14:paraId="6C0BA0E2" w14:textId="77777777" w:rsidR="00E5162E" w:rsidRPr="00130D3D" w:rsidRDefault="00E5162E" w:rsidP="008619D6">
      <w:pPr>
        <w:pStyle w:val="ListParagraph"/>
        <w:numPr>
          <w:ilvl w:val="0"/>
          <w:numId w:val="22"/>
        </w:numPr>
        <w:spacing w:after="120" w:line="240" w:lineRule="auto"/>
        <w:ind w:left="714" w:hanging="357"/>
        <w:contextualSpacing w:val="0"/>
        <w:rPr>
          <w:rFonts w:asciiTheme="majorBidi" w:hAnsiTheme="majorBidi" w:cstheme="majorBidi"/>
        </w:rPr>
      </w:pPr>
      <w:r w:rsidRPr="00130D3D">
        <w:rPr>
          <w:rFonts w:asciiTheme="majorBidi" w:hAnsiTheme="majorBidi" w:cstheme="majorBidi"/>
        </w:rPr>
        <w:t xml:space="preserve">The strengths of the Strategic Approach as a voluntary </w:t>
      </w:r>
      <w:r w:rsidR="005C58E2" w:rsidRPr="00130D3D">
        <w:rPr>
          <w:rFonts w:asciiTheme="majorBidi" w:hAnsiTheme="majorBidi" w:cstheme="majorBidi"/>
        </w:rPr>
        <w:t>based instrument</w:t>
      </w:r>
      <w:r w:rsidRPr="00130D3D">
        <w:rPr>
          <w:rFonts w:asciiTheme="majorBidi" w:hAnsiTheme="majorBidi" w:cstheme="majorBidi"/>
        </w:rPr>
        <w:t>, and the contribution of the Strategic Approach to the development of</w:t>
      </w:r>
      <w:r w:rsidR="00B740D9" w:rsidRPr="00130D3D">
        <w:rPr>
          <w:rFonts w:asciiTheme="majorBidi" w:hAnsiTheme="majorBidi" w:cstheme="majorBidi"/>
        </w:rPr>
        <w:t xml:space="preserve"> other</w:t>
      </w:r>
      <w:r w:rsidRPr="00130D3D">
        <w:rPr>
          <w:rFonts w:asciiTheme="majorBidi" w:hAnsiTheme="majorBidi" w:cstheme="majorBidi"/>
        </w:rPr>
        <w:t xml:space="preserve"> </w:t>
      </w:r>
      <w:r w:rsidR="00B740D9" w:rsidRPr="00130D3D">
        <w:rPr>
          <w:rFonts w:asciiTheme="majorBidi" w:hAnsiTheme="majorBidi" w:cstheme="majorBidi"/>
        </w:rPr>
        <w:t xml:space="preserve">national, regional and global </w:t>
      </w:r>
      <w:r w:rsidR="00845BE1" w:rsidRPr="00130D3D">
        <w:rPr>
          <w:rFonts w:asciiTheme="majorBidi" w:hAnsiTheme="majorBidi" w:cstheme="majorBidi"/>
        </w:rPr>
        <w:t xml:space="preserve">policy </w:t>
      </w:r>
      <w:r w:rsidRPr="00130D3D">
        <w:rPr>
          <w:rFonts w:asciiTheme="majorBidi" w:hAnsiTheme="majorBidi" w:cstheme="majorBidi"/>
        </w:rPr>
        <w:t>instruments;</w:t>
      </w:r>
    </w:p>
    <w:p w14:paraId="1527F59D" w14:textId="77777777" w:rsidR="005C58E2" w:rsidRPr="00130D3D" w:rsidRDefault="005C58E2" w:rsidP="008619D6">
      <w:pPr>
        <w:pStyle w:val="ListParagraph"/>
        <w:numPr>
          <w:ilvl w:val="0"/>
          <w:numId w:val="22"/>
        </w:numPr>
        <w:spacing w:after="120" w:line="240" w:lineRule="auto"/>
        <w:ind w:left="714" w:hanging="357"/>
        <w:contextualSpacing w:val="0"/>
        <w:rPr>
          <w:rFonts w:asciiTheme="majorBidi" w:hAnsiTheme="majorBidi" w:cstheme="majorBidi"/>
        </w:rPr>
      </w:pPr>
      <w:r w:rsidRPr="00130D3D">
        <w:rPr>
          <w:rFonts w:asciiTheme="majorBidi" w:hAnsiTheme="majorBidi" w:cstheme="majorBidi"/>
        </w:rPr>
        <w:t xml:space="preserve">Extent to which the Strategic Approach is an effective </w:t>
      </w:r>
      <w:r w:rsidR="00845BE1" w:rsidRPr="00130D3D">
        <w:rPr>
          <w:rFonts w:asciiTheme="majorBidi" w:hAnsiTheme="majorBidi" w:cstheme="majorBidi"/>
        </w:rPr>
        <w:t>instrument</w:t>
      </w:r>
      <w:r w:rsidRPr="00130D3D">
        <w:rPr>
          <w:rFonts w:asciiTheme="majorBidi" w:hAnsiTheme="majorBidi" w:cstheme="majorBidi"/>
        </w:rPr>
        <w:t xml:space="preserve"> ‘to close the gap’ in capacity and implementation of sound management of chemicals between developed and developing countries;</w:t>
      </w:r>
    </w:p>
    <w:p w14:paraId="39065716" w14:textId="77777777" w:rsidR="00E5162E" w:rsidRPr="00130D3D" w:rsidRDefault="00E5162E" w:rsidP="008619D6">
      <w:pPr>
        <w:pStyle w:val="ListParagraph"/>
        <w:numPr>
          <w:ilvl w:val="0"/>
          <w:numId w:val="22"/>
        </w:numPr>
        <w:spacing w:after="120" w:line="240" w:lineRule="auto"/>
        <w:ind w:left="714" w:hanging="357"/>
        <w:contextualSpacing w:val="0"/>
        <w:rPr>
          <w:rFonts w:asciiTheme="majorBidi" w:hAnsiTheme="majorBidi" w:cstheme="majorBidi"/>
        </w:rPr>
      </w:pPr>
      <w:r w:rsidRPr="00130D3D">
        <w:rPr>
          <w:rFonts w:asciiTheme="majorBidi" w:hAnsiTheme="majorBidi" w:cstheme="majorBidi"/>
        </w:rPr>
        <w:t>Focus on inclusive multi-stakeholder collaboration and gender and social dimensions of chemicals management, with the explicit focus on vulnerable groups;</w:t>
      </w:r>
    </w:p>
    <w:p w14:paraId="4347B2AB" w14:textId="77777777" w:rsidR="00E5162E" w:rsidRPr="00130D3D" w:rsidRDefault="00E5162E" w:rsidP="008619D6">
      <w:pPr>
        <w:pStyle w:val="ListParagraph"/>
        <w:numPr>
          <w:ilvl w:val="0"/>
          <w:numId w:val="22"/>
        </w:numPr>
        <w:spacing w:after="120" w:line="240" w:lineRule="auto"/>
        <w:ind w:left="714" w:hanging="357"/>
        <w:contextualSpacing w:val="0"/>
        <w:rPr>
          <w:rFonts w:asciiTheme="majorBidi" w:hAnsiTheme="majorBidi" w:cstheme="majorBidi"/>
        </w:rPr>
      </w:pPr>
      <w:r w:rsidRPr="00130D3D">
        <w:rPr>
          <w:rFonts w:asciiTheme="majorBidi" w:hAnsiTheme="majorBidi" w:cstheme="majorBidi"/>
        </w:rPr>
        <w:t>Institutional arrangements within the multisectoral and multi-stakeholder approach;</w:t>
      </w:r>
    </w:p>
    <w:p w14:paraId="309E357F" w14:textId="77777777" w:rsidR="00326E89" w:rsidRPr="00130D3D" w:rsidRDefault="00E5162E" w:rsidP="008619D6">
      <w:pPr>
        <w:pStyle w:val="ListParagraph"/>
        <w:numPr>
          <w:ilvl w:val="0"/>
          <w:numId w:val="22"/>
        </w:numPr>
        <w:spacing w:after="120" w:line="240" w:lineRule="auto"/>
        <w:ind w:left="714" w:hanging="357"/>
        <w:contextualSpacing w:val="0"/>
        <w:rPr>
          <w:rFonts w:asciiTheme="majorBidi" w:hAnsiTheme="majorBidi" w:cstheme="majorBidi"/>
        </w:rPr>
      </w:pPr>
      <w:r w:rsidRPr="00130D3D">
        <w:rPr>
          <w:rFonts w:asciiTheme="majorBidi" w:hAnsiTheme="majorBidi" w:cstheme="majorBidi"/>
        </w:rPr>
        <w:t xml:space="preserve">Management arrangement for the Strategic Approach including: the capacity of national focal points to deliver on activities; the effectiveness of the coordination mechanisms for facilitating communication and involvement; the funding model; monitoring progress indicators and reporting arrangements for tracking progress; </w:t>
      </w:r>
      <w:r w:rsidR="005C58E2" w:rsidRPr="00130D3D">
        <w:rPr>
          <w:rFonts w:asciiTheme="majorBidi" w:hAnsiTheme="majorBidi" w:cstheme="majorBidi"/>
        </w:rPr>
        <w:t xml:space="preserve">and </w:t>
      </w:r>
      <w:r w:rsidRPr="00130D3D">
        <w:rPr>
          <w:rFonts w:asciiTheme="majorBidi" w:hAnsiTheme="majorBidi" w:cstheme="majorBidi"/>
        </w:rPr>
        <w:t xml:space="preserve">the </w:t>
      </w:r>
      <w:r w:rsidR="005C58E2" w:rsidRPr="00130D3D">
        <w:rPr>
          <w:rFonts w:asciiTheme="majorBidi" w:hAnsiTheme="majorBidi" w:cstheme="majorBidi"/>
        </w:rPr>
        <w:t>secretariat arrangements</w:t>
      </w:r>
      <w:r w:rsidRPr="00130D3D">
        <w:rPr>
          <w:rFonts w:asciiTheme="majorBidi" w:hAnsiTheme="majorBidi" w:cstheme="majorBidi"/>
        </w:rPr>
        <w:t>.</w:t>
      </w:r>
    </w:p>
    <w:p w14:paraId="407707C7" w14:textId="77777777" w:rsidR="00326E89" w:rsidRPr="00326E89" w:rsidRDefault="00326E89" w:rsidP="00326E89">
      <w:pPr>
        <w:pStyle w:val="ListParagraph"/>
        <w:spacing w:after="0" w:line="240" w:lineRule="auto"/>
        <w:rPr>
          <w:rFonts w:asciiTheme="majorBidi" w:hAnsiTheme="majorBidi" w:cstheme="majorBidi"/>
        </w:rPr>
      </w:pPr>
      <w:bookmarkStart w:id="0" w:name="_GoBack"/>
      <w:bookmarkEnd w:id="0"/>
    </w:p>
    <w:p w14:paraId="31723170" w14:textId="77777777" w:rsidR="00E5162E" w:rsidRPr="00171051" w:rsidRDefault="00E5162E" w:rsidP="00E5162E">
      <w:pPr>
        <w:rPr>
          <w:rFonts w:asciiTheme="majorBidi" w:hAnsiTheme="majorBidi" w:cstheme="majorBidi"/>
        </w:rPr>
      </w:pPr>
      <w:r w:rsidRPr="00171051">
        <w:rPr>
          <w:rFonts w:asciiTheme="majorBidi" w:hAnsiTheme="majorBidi" w:cstheme="majorBidi"/>
        </w:rPr>
        <w:t>The outcome of the evaluation will provide information, as appropriate, to enable the inter-sessional process to develop recommendations and to enable the ICCM at its fifth session to take an informed decision on future arrangements for the Strategic Approach and the sound management of chemicals and waste beyond 2020.</w:t>
      </w:r>
    </w:p>
    <w:p w14:paraId="04DF6EDB" w14:textId="77777777" w:rsidR="00E5162E" w:rsidRDefault="00E5162E" w:rsidP="00AD023A">
      <w:pPr>
        <w:rPr>
          <w:rFonts w:asciiTheme="majorBidi" w:hAnsiTheme="majorBidi" w:cstheme="majorBidi"/>
        </w:rPr>
      </w:pPr>
      <w:r w:rsidRPr="00171051">
        <w:rPr>
          <w:rFonts w:asciiTheme="majorBidi" w:hAnsiTheme="majorBidi" w:cstheme="majorBidi"/>
        </w:rPr>
        <w:t xml:space="preserve">It is envisaged that the evaluation will be </w:t>
      </w:r>
      <w:r>
        <w:rPr>
          <w:rFonts w:asciiTheme="majorBidi" w:hAnsiTheme="majorBidi" w:cstheme="majorBidi"/>
        </w:rPr>
        <w:t xml:space="preserve">mainly </w:t>
      </w:r>
      <w:r w:rsidRPr="00171051">
        <w:rPr>
          <w:rFonts w:asciiTheme="majorBidi" w:hAnsiTheme="majorBidi" w:cstheme="majorBidi"/>
        </w:rPr>
        <w:t>a desk based study – review of documents and engagement with stakeholders through skype and email. Where the opportunity arises, face-to-face meetings</w:t>
      </w:r>
      <w:r>
        <w:rPr>
          <w:rFonts w:asciiTheme="majorBidi" w:hAnsiTheme="majorBidi" w:cstheme="majorBidi"/>
        </w:rPr>
        <w:t>, focus groups</w:t>
      </w:r>
      <w:r w:rsidRPr="00171051">
        <w:rPr>
          <w:rFonts w:asciiTheme="majorBidi" w:hAnsiTheme="majorBidi" w:cstheme="majorBidi"/>
        </w:rPr>
        <w:t xml:space="preserve"> and workshops will add to the depth of the analysis and the strength of the evaluation. Discussions with the Secretariat in the initial stages will seek to identify where such opportunities exist.</w:t>
      </w:r>
    </w:p>
    <w:p w14:paraId="0AAC80E2" w14:textId="77777777" w:rsidR="00AD023A" w:rsidRPr="00171051" w:rsidRDefault="00AD023A" w:rsidP="00AD023A">
      <w:pPr>
        <w:rPr>
          <w:rFonts w:asciiTheme="majorBidi" w:hAnsiTheme="majorBidi" w:cstheme="majorBidi"/>
        </w:rPr>
      </w:pPr>
    </w:p>
    <w:p w14:paraId="16D90FDB" w14:textId="77777777" w:rsidR="00E5162E" w:rsidRPr="00171051" w:rsidRDefault="00E5162E" w:rsidP="00E5162E">
      <w:pPr>
        <w:rPr>
          <w:rFonts w:asciiTheme="majorBidi" w:hAnsiTheme="majorBidi" w:cstheme="majorBidi"/>
          <w:b/>
        </w:rPr>
      </w:pPr>
      <w:r w:rsidRPr="00171051">
        <w:rPr>
          <w:rFonts w:asciiTheme="majorBidi" w:hAnsiTheme="majorBidi" w:cstheme="majorBidi"/>
          <w:b/>
        </w:rPr>
        <w:t>3. The Approach</w:t>
      </w:r>
    </w:p>
    <w:p w14:paraId="20420F6A" w14:textId="7BB25AB8" w:rsidR="00E5162E" w:rsidRPr="00171051" w:rsidRDefault="00E5162E" w:rsidP="00E5162E">
      <w:pPr>
        <w:widowControl w:val="0"/>
        <w:autoSpaceDE w:val="0"/>
        <w:autoSpaceDN w:val="0"/>
        <w:adjustRightInd w:val="0"/>
        <w:spacing w:after="240"/>
        <w:rPr>
          <w:rFonts w:asciiTheme="majorBidi" w:hAnsiTheme="majorBidi" w:cstheme="majorBidi"/>
        </w:rPr>
      </w:pPr>
      <w:r w:rsidRPr="00171051">
        <w:rPr>
          <w:rFonts w:asciiTheme="majorBidi" w:hAnsiTheme="majorBidi" w:cstheme="majorBidi"/>
        </w:rPr>
        <w:t xml:space="preserve">An inclusive and participatory evaluation process is proposed, such that as wide a range of stakeholders as possible will provide their perspectives and input into the evaluation, thereby maximising the likelihood of buy-in and support for the results presented. In particular </w:t>
      </w:r>
      <w:r w:rsidR="00F54EB8">
        <w:rPr>
          <w:rFonts w:asciiTheme="majorBidi" w:hAnsiTheme="majorBidi" w:cstheme="majorBidi"/>
        </w:rPr>
        <w:t>the independent evaluator</w:t>
      </w:r>
      <w:r w:rsidRPr="00171051">
        <w:rPr>
          <w:rFonts w:asciiTheme="majorBidi" w:hAnsiTheme="majorBidi" w:cstheme="majorBidi"/>
        </w:rPr>
        <w:t xml:space="preserve"> will work closely with the regional</w:t>
      </w:r>
      <w:r>
        <w:rPr>
          <w:rFonts w:asciiTheme="majorBidi" w:hAnsiTheme="majorBidi" w:cstheme="majorBidi"/>
        </w:rPr>
        <w:t xml:space="preserve"> and </w:t>
      </w:r>
      <w:r w:rsidRPr="00171051">
        <w:rPr>
          <w:rFonts w:asciiTheme="majorBidi" w:hAnsiTheme="majorBidi" w:cstheme="majorBidi"/>
        </w:rPr>
        <w:t>national focal points through their responsibilities to act as an effective conduit for communication on Strategic Approach matters, including invitations to participate in meetings and information dissemination in-line with para</w:t>
      </w:r>
      <w:r w:rsidR="00AD023A">
        <w:rPr>
          <w:rFonts w:asciiTheme="majorBidi" w:hAnsiTheme="majorBidi" w:cstheme="majorBidi"/>
        </w:rPr>
        <w:t>graph</w:t>
      </w:r>
      <w:r w:rsidRPr="00171051">
        <w:rPr>
          <w:rFonts w:asciiTheme="majorBidi" w:hAnsiTheme="majorBidi" w:cstheme="majorBidi"/>
        </w:rPr>
        <w:t xml:space="preserve"> 23 of </w:t>
      </w:r>
      <w:r w:rsidRPr="00CA04F9">
        <w:rPr>
          <w:rFonts w:asciiTheme="majorBidi" w:hAnsiTheme="majorBidi" w:cstheme="majorBidi"/>
        </w:rPr>
        <w:t>Overarching</w:t>
      </w:r>
      <w:r w:rsidRPr="00171051">
        <w:rPr>
          <w:rFonts w:asciiTheme="majorBidi" w:hAnsiTheme="majorBidi" w:cstheme="majorBidi"/>
        </w:rPr>
        <w:t xml:space="preserve"> Policy Strategy. </w:t>
      </w:r>
    </w:p>
    <w:p w14:paraId="21561A98" w14:textId="044F44AD" w:rsidR="00E5162E" w:rsidRPr="00171051" w:rsidRDefault="00F54EB8" w:rsidP="00E5162E">
      <w:pPr>
        <w:rPr>
          <w:rFonts w:asciiTheme="majorBidi" w:hAnsiTheme="majorBidi" w:cstheme="majorBidi"/>
        </w:rPr>
      </w:pPr>
      <w:r>
        <w:rPr>
          <w:rFonts w:asciiTheme="majorBidi" w:hAnsiTheme="majorBidi" w:cstheme="majorBidi"/>
        </w:rPr>
        <w:lastRenderedPageBreak/>
        <w:t>The independent evaluator</w:t>
      </w:r>
      <w:r w:rsidR="00E5162E" w:rsidRPr="00171051">
        <w:rPr>
          <w:rFonts w:asciiTheme="majorBidi" w:hAnsiTheme="majorBidi" w:cstheme="majorBidi"/>
        </w:rPr>
        <w:t xml:space="preserve"> will also work with </w:t>
      </w:r>
      <w:r w:rsidR="00E5162E">
        <w:rPr>
          <w:rFonts w:asciiTheme="majorBidi" w:hAnsiTheme="majorBidi" w:cstheme="majorBidi"/>
        </w:rPr>
        <w:t xml:space="preserve">focal points and </w:t>
      </w:r>
      <w:r w:rsidR="00E5162E" w:rsidRPr="00171051">
        <w:rPr>
          <w:rFonts w:asciiTheme="majorBidi" w:hAnsiTheme="majorBidi" w:cstheme="majorBidi"/>
        </w:rPr>
        <w:t xml:space="preserve">stakeholders from civil society organizations, trade unions, health, industry and the United Nations </w:t>
      </w:r>
      <w:r w:rsidR="00E5162E" w:rsidRPr="00AD023A">
        <w:rPr>
          <w:rFonts w:asciiTheme="majorBidi" w:hAnsiTheme="majorBidi" w:cstheme="majorBidi"/>
        </w:rPr>
        <w:t>agencies. The involvement of regional centers under the Basel and Stockholm Conventions will also be explored.</w:t>
      </w:r>
      <w:r w:rsidR="00E5162E">
        <w:rPr>
          <w:rFonts w:asciiTheme="majorBidi" w:hAnsiTheme="majorBidi" w:cstheme="majorBidi"/>
        </w:rPr>
        <w:t xml:space="preserve"> </w:t>
      </w:r>
      <w:r w:rsidR="00E5162E" w:rsidRPr="00171051">
        <w:rPr>
          <w:rFonts w:asciiTheme="majorBidi" w:hAnsiTheme="majorBidi" w:cstheme="majorBidi"/>
        </w:rPr>
        <w:t xml:space="preserve"> </w:t>
      </w:r>
    </w:p>
    <w:p w14:paraId="7F46FED3" w14:textId="77777777" w:rsidR="00E5162E" w:rsidRPr="00171051" w:rsidRDefault="00E5162E" w:rsidP="00E5162E">
      <w:pPr>
        <w:rPr>
          <w:rFonts w:asciiTheme="majorBidi" w:hAnsiTheme="majorBidi" w:cstheme="majorBidi"/>
        </w:rPr>
      </w:pPr>
      <w:r w:rsidRPr="00171051">
        <w:rPr>
          <w:rFonts w:asciiTheme="majorBidi" w:hAnsiTheme="majorBidi" w:cstheme="majorBidi"/>
        </w:rPr>
        <w:t>The evaluation will be grounded in a Theory of Change approach that is particularly appropriate for SAICM. A Theory of Change seeks to map out the pathways to impact from a range of actions, recognising that these pathways are neither linear nor take place within a closed system; rather the Theory of Change is based on the premise that organisations seeking to influence change operate within an open and non-linear system. This is particularly relevant to SAICM that encompasses many diverse stakeholders working across multiple sectors. Further, the Overarching Policy Framework is a voluntary agreement, with success depending upon inter-connected but independent multilateral environmental agreements and outcomes of national policy processes.</w:t>
      </w:r>
    </w:p>
    <w:p w14:paraId="61AADB0A" w14:textId="77777777" w:rsidR="00E5162E" w:rsidRPr="00171051" w:rsidRDefault="00E5162E" w:rsidP="00E5162E">
      <w:pPr>
        <w:rPr>
          <w:rFonts w:asciiTheme="majorBidi" w:hAnsiTheme="majorBidi" w:cstheme="majorBidi"/>
        </w:rPr>
      </w:pPr>
      <w:r w:rsidRPr="00171051">
        <w:rPr>
          <w:rFonts w:asciiTheme="majorBidi" w:hAnsiTheme="majorBidi" w:cstheme="majorBidi"/>
        </w:rPr>
        <w:t>The Theory of Change will seek to reflect both concrete measureable impacts as well as changes in attitudes, behaviours and approaches to chemicals management.</w:t>
      </w:r>
    </w:p>
    <w:p w14:paraId="72A1E82B" w14:textId="77777777" w:rsidR="00E5162E" w:rsidRPr="00171051" w:rsidRDefault="00E5162E" w:rsidP="00E5162E">
      <w:pPr>
        <w:rPr>
          <w:rFonts w:asciiTheme="majorBidi" w:hAnsiTheme="majorBidi" w:cstheme="majorBidi"/>
        </w:rPr>
      </w:pPr>
      <w:r w:rsidRPr="00171051">
        <w:rPr>
          <w:rFonts w:asciiTheme="majorBidi" w:hAnsiTheme="majorBidi" w:cstheme="majorBidi"/>
        </w:rPr>
        <w:t>A Theory of Change will provide the framework to review the success of SAICM to date in achieving its objectives and thereby its overall goal. It will also provide the structure for providing information to inform recommendations for SAICM and the sound management of chemicals and waste beyond 2020.</w:t>
      </w:r>
    </w:p>
    <w:p w14:paraId="4854BC25" w14:textId="77777777" w:rsidR="00E5162E" w:rsidRPr="00171051" w:rsidRDefault="00E5162E" w:rsidP="00E5162E">
      <w:pPr>
        <w:rPr>
          <w:rFonts w:asciiTheme="majorBidi" w:hAnsiTheme="majorBidi" w:cstheme="majorBidi"/>
        </w:rPr>
      </w:pPr>
      <w:r w:rsidRPr="00171051">
        <w:rPr>
          <w:rFonts w:asciiTheme="majorBidi" w:hAnsiTheme="majorBidi" w:cstheme="majorBidi"/>
        </w:rPr>
        <w:t>The approach will comprise a review of documents, an on-line survey and participatory mixed-methods</w:t>
      </w:r>
      <w:r>
        <w:rPr>
          <w:rFonts w:asciiTheme="majorBidi" w:hAnsiTheme="majorBidi" w:cstheme="majorBidi"/>
        </w:rPr>
        <w:t>,</w:t>
      </w:r>
      <w:r w:rsidRPr="00171051">
        <w:rPr>
          <w:rFonts w:asciiTheme="majorBidi" w:hAnsiTheme="majorBidi" w:cstheme="majorBidi"/>
        </w:rPr>
        <w:t xml:space="preserve"> including workshops, focus groups and one-to-one interviews all complemented on-line engagement.</w:t>
      </w:r>
    </w:p>
    <w:p w14:paraId="75C2C176" w14:textId="77777777" w:rsidR="00457032" w:rsidRDefault="00457032">
      <w:pPr>
        <w:rPr>
          <w:rFonts w:asciiTheme="majorBidi" w:hAnsiTheme="majorBidi" w:cstheme="majorBidi"/>
          <w:b/>
        </w:rPr>
      </w:pPr>
    </w:p>
    <w:p w14:paraId="4B84CCE5" w14:textId="77777777" w:rsidR="00AD023A" w:rsidRDefault="00AD023A">
      <w:pPr>
        <w:rPr>
          <w:rFonts w:asciiTheme="majorBidi" w:hAnsiTheme="majorBidi" w:cstheme="majorBidi"/>
          <w:b/>
        </w:rPr>
      </w:pPr>
      <w:r>
        <w:rPr>
          <w:rFonts w:asciiTheme="majorBidi" w:hAnsiTheme="majorBidi" w:cstheme="majorBidi"/>
          <w:b/>
        </w:rPr>
        <w:br w:type="page"/>
      </w:r>
    </w:p>
    <w:p w14:paraId="40B53EF0" w14:textId="77777777" w:rsidR="00E5162E" w:rsidRPr="00171051" w:rsidRDefault="00E5162E" w:rsidP="00E5162E">
      <w:pPr>
        <w:keepNext/>
        <w:keepLines/>
        <w:rPr>
          <w:rFonts w:asciiTheme="majorBidi" w:hAnsiTheme="majorBidi" w:cstheme="majorBidi"/>
          <w:b/>
        </w:rPr>
      </w:pPr>
      <w:r w:rsidRPr="00171051">
        <w:rPr>
          <w:rFonts w:asciiTheme="majorBidi" w:hAnsiTheme="majorBidi" w:cstheme="majorBidi"/>
          <w:b/>
        </w:rPr>
        <w:lastRenderedPageBreak/>
        <w:t>4. Proposed Report Structure</w:t>
      </w:r>
    </w:p>
    <w:p w14:paraId="043C5D8D" w14:textId="77777777" w:rsidR="00E5162E" w:rsidRPr="00171051" w:rsidRDefault="00E5162E" w:rsidP="00457032">
      <w:pPr>
        <w:keepNext/>
        <w:keepLines/>
        <w:spacing w:after="120" w:line="240" w:lineRule="auto"/>
        <w:rPr>
          <w:rFonts w:asciiTheme="majorBidi" w:hAnsiTheme="majorBidi" w:cstheme="majorBidi"/>
        </w:rPr>
      </w:pPr>
      <w:r w:rsidRPr="00457032">
        <w:rPr>
          <w:rFonts w:asciiTheme="majorBidi" w:hAnsiTheme="majorBidi" w:cstheme="majorBidi"/>
        </w:rPr>
        <w:t xml:space="preserve">The proposed structure of the report is set out below:  </w:t>
      </w:r>
    </w:p>
    <w:p w14:paraId="1ADD8DF7" w14:textId="77777777" w:rsidR="00E5162E" w:rsidRPr="00171051" w:rsidRDefault="00E5162E" w:rsidP="00130D3D">
      <w:pPr>
        <w:pStyle w:val="ListParagraph"/>
        <w:numPr>
          <w:ilvl w:val="0"/>
          <w:numId w:val="30"/>
        </w:numPr>
        <w:spacing w:after="120" w:line="240" w:lineRule="auto"/>
        <w:ind w:right="443"/>
        <w:contextualSpacing w:val="0"/>
        <w:rPr>
          <w:rFonts w:asciiTheme="majorBidi" w:hAnsiTheme="majorBidi" w:cstheme="majorBidi"/>
          <w:bCs/>
        </w:rPr>
      </w:pPr>
      <w:r w:rsidRPr="00171051">
        <w:rPr>
          <w:rFonts w:asciiTheme="majorBidi" w:hAnsiTheme="majorBidi" w:cstheme="majorBidi"/>
        </w:rPr>
        <w:t>Executive summary</w:t>
      </w:r>
      <w:r w:rsidRPr="00171051">
        <w:rPr>
          <w:rFonts w:asciiTheme="majorBidi" w:hAnsiTheme="majorBidi" w:cstheme="majorBidi"/>
          <w:bCs/>
        </w:rPr>
        <w:t xml:space="preserve"> </w:t>
      </w:r>
    </w:p>
    <w:p w14:paraId="409C08DC" w14:textId="77777777" w:rsidR="00E5162E" w:rsidRPr="00171051" w:rsidRDefault="00E5162E" w:rsidP="00130D3D">
      <w:pPr>
        <w:pStyle w:val="ListParagraph"/>
        <w:numPr>
          <w:ilvl w:val="0"/>
          <w:numId w:val="30"/>
        </w:numPr>
        <w:spacing w:after="120" w:line="240" w:lineRule="auto"/>
        <w:ind w:right="443"/>
        <w:contextualSpacing w:val="0"/>
        <w:rPr>
          <w:rFonts w:asciiTheme="majorBidi" w:hAnsiTheme="majorBidi" w:cstheme="majorBidi"/>
          <w:bCs/>
        </w:rPr>
      </w:pPr>
      <w:r w:rsidRPr="00171051">
        <w:rPr>
          <w:rFonts w:asciiTheme="majorBidi" w:hAnsiTheme="majorBidi" w:cstheme="majorBidi"/>
        </w:rPr>
        <w:t xml:space="preserve">Introduction </w:t>
      </w:r>
    </w:p>
    <w:p w14:paraId="3D0CA861" w14:textId="77777777" w:rsidR="00E5162E" w:rsidRPr="00171051" w:rsidRDefault="00E5162E" w:rsidP="00130D3D">
      <w:pPr>
        <w:pStyle w:val="ListParagraph"/>
        <w:numPr>
          <w:ilvl w:val="0"/>
          <w:numId w:val="30"/>
        </w:numPr>
        <w:spacing w:after="120" w:line="240" w:lineRule="auto"/>
        <w:ind w:right="443"/>
        <w:contextualSpacing w:val="0"/>
        <w:rPr>
          <w:rFonts w:asciiTheme="majorBidi" w:hAnsiTheme="majorBidi" w:cstheme="majorBidi"/>
          <w:bCs/>
        </w:rPr>
      </w:pPr>
      <w:r w:rsidRPr="00171051">
        <w:rPr>
          <w:rFonts w:asciiTheme="majorBidi" w:hAnsiTheme="majorBidi" w:cstheme="majorBidi"/>
          <w:bCs/>
        </w:rPr>
        <w:t>Brief history</w:t>
      </w:r>
    </w:p>
    <w:p w14:paraId="29A45D84" w14:textId="77777777" w:rsidR="00E5162E" w:rsidRPr="00171051" w:rsidRDefault="00E5162E" w:rsidP="00130D3D">
      <w:pPr>
        <w:pStyle w:val="ListParagraph"/>
        <w:numPr>
          <w:ilvl w:val="0"/>
          <w:numId w:val="30"/>
        </w:numPr>
        <w:spacing w:after="120" w:line="240" w:lineRule="auto"/>
        <w:ind w:right="443"/>
        <w:contextualSpacing w:val="0"/>
        <w:rPr>
          <w:rFonts w:asciiTheme="majorBidi" w:hAnsiTheme="majorBidi" w:cstheme="majorBidi"/>
          <w:bCs/>
        </w:rPr>
      </w:pPr>
      <w:r w:rsidRPr="00171051">
        <w:rPr>
          <w:rFonts w:asciiTheme="majorBidi" w:hAnsiTheme="majorBidi" w:cstheme="majorBidi"/>
        </w:rPr>
        <w:t>Scope, objective, Theory of Change approach and methods</w:t>
      </w:r>
    </w:p>
    <w:p w14:paraId="21A46759" w14:textId="77777777" w:rsidR="00E5162E" w:rsidRPr="00171051" w:rsidRDefault="00E5162E" w:rsidP="00130D3D">
      <w:pPr>
        <w:pStyle w:val="ListParagraph"/>
        <w:numPr>
          <w:ilvl w:val="0"/>
          <w:numId w:val="30"/>
        </w:numPr>
        <w:spacing w:after="120" w:line="240" w:lineRule="auto"/>
        <w:ind w:right="443"/>
        <w:contextualSpacing w:val="0"/>
        <w:rPr>
          <w:rFonts w:asciiTheme="majorBidi" w:hAnsiTheme="majorBidi" w:cstheme="majorBidi"/>
        </w:rPr>
      </w:pPr>
      <w:r w:rsidRPr="00171051">
        <w:rPr>
          <w:rFonts w:asciiTheme="majorBidi" w:hAnsiTheme="majorBidi" w:cstheme="majorBidi"/>
        </w:rPr>
        <w:t xml:space="preserve">SAICM performance and impact: </w:t>
      </w:r>
    </w:p>
    <w:p w14:paraId="3B1D855E" w14:textId="77777777" w:rsidR="00E5162E" w:rsidRPr="00171051" w:rsidRDefault="00E5162E" w:rsidP="00130D3D">
      <w:pPr>
        <w:pStyle w:val="ListParagraph"/>
        <w:numPr>
          <w:ilvl w:val="1"/>
          <w:numId w:val="28"/>
        </w:numPr>
        <w:spacing w:after="120" w:line="240" w:lineRule="auto"/>
        <w:ind w:right="443"/>
        <w:contextualSpacing w:val="0"/>
        <w:rPr>
          <w:rFonts w:asciiTheme="majorBidi" w:hAnsiTheme="majorBidi" w:cstheme="majorBidi"/>
          <w:bCs/>
        </w:rPr>
      </w:pPr>
      <w:r w:rsidRPr="00171051">
        <w:rPr>
          <w:rFonts w:asciiTheme="majorBidi" w:eastAsia="MS Mincho" w:hAnsiTheme="majorBidi" w:cstheme="majorBidi"/>
          <w:lang w:eastAsia="ja-JP"/>
        </w:rPr>
        <w:t>Objectives for the sound management of chemicals and waste beyond 2020;</w:t>
      </w:r>
    </w:p>
    <w:p w14:paraId="76923E49" w14:textId="77777777" w:rsidR="00E5162E" w:rsidRPr="00171051" w:rsidRDefault="00E5162E" w:rsidP="00130D3D">
      <w:pPr>
        <w:pStyle w:val="ListParagraph"/>
        <w:numPr>
          <w:ilvl w:val="1"/>
          <w:numId w:val="28"/>
        </w:numPr>
        <w:spacing w:after="120" w:line="240" w:lineRule="auto"/>
        <w:ind w:right="443"/>
        <w:contextualSpacing w:val="0"/>
        <w:rPr>
          <w:rFonts w:asciiTheme="majorBidi" w:hAnsiTheme="majorBidi" w:cstheme="majorBidi"/>
          <w:bCs/>
        </w:rPr>
      </w:pPr>
      <w:r w:rsidRPr="00171051">
        <w:rPr>
          <w:rFonts w:asciiTheme="majorBidi" w:eastAsia="MS Mincho" w:hAnsiTheme="majorBidi" w:cstheme="majorBidi"/>
          <w:lang w:eastAsia="ja-JP"/>
        </w:rPr>
        <w:t>Identifying and taking action on new or emerging issues;</w:t>
      </w:r>
    </w:p>
    <w:p w14:paraId="5480789A" w14:textId="700A4FD3" w:rsidR="009F0E65" w:rsidRPr="00171051" w:rsidRDefault="00E5162E" w:rsidP="00130D3D">
      <w:pPr>
        <w:pStyle w:val="ListParagraph"/>
        <w:numPr>
          <w:ilvl w:val="1"/>
          <w:numId w:val="28"/>
        </w:numPr>
        <w:spacing w:after="120" w:line="240" w:lineRule="auto"/>
        <w:ind w:right="443"/>
        <w:contextualSpacing w:val="0"/>
        <w:rPr>
          <w:rFonts w:asciiTheme="majorBidi" w:hAnsiTheme="majorBidi" w:cstheme="majorBidi"/>
          <w:bCs/>
        </w:rPr>
      </w:pPr>
      <w:r w:rsidRPr="00171051">
        <w:rPr>
          <w:rFonts w:asciiTheme="majorBidi" w:eastAsia="MS Mincho" w:hAnsiTheme="majorBidi" w:cstheme="majorBidi"/>
          <w:lang w:eastAsia="ja-JP"/>
        </w:rPr>
        <w:t>Coordination and cooperation with relevant multilateral environmental agreements and organizations of the Inter-Organization Programme for the Sound Management of Chemicals</w:t>
      </w:r>
      <w:r w:rsidR="00AD023A">
        <w:rPr>
          <w:rFonts w:asciiTheme="majorBidi" w:eastAsia="MS Mincho" w:hAnsiTheme="majorBidi" w:cstheme="majorBidi"/>
          <w:lang w:eastAsia="ja-JP"/>
        </w:rPr>
        <w:t>.</w:t>
      </w:r>
    </w:p>
    <w:p w14:paraId="5F9FA0FB" w14:textId="77777777" w:rsidR="00E5162E" w:rsidRPr="00130D3D" w:rsidRDefault="00E5162E" w:rsidP="00130D3D">
      <w:pPr>
        <w:pStyle w:val="ListParagraph"/>
        <w:numPr>
          <w:ilvl w:val="1"/>
          <w:numId w:val="28"/>
        </w:numPr>
        <w:spacing w:after="120" w:line="240" w:lineRule="auto"/>
        <w:ind w:right="443"/>
        <w:contextualSpacing w:val="0"/>
        <w:rPr>
          <w:rFonts w:asciiTheme="majorBidi" w:hAnsiTheme="majorBidi" w:cstheme="majorBidi"/>
        </w:rPr>
      </w:pPr>
      <w:r w:rsidRPr="00130D3D">
        <w:rPr>
          <w:rFonts w:asciiTheme="majorBidi" w:hAnsiTheme="majorBidi" w:cstheme="majorBidi"/>
        </w:rPr>
        <w:t>Relevance of impacts to the 2030 Agenda for Sustainable Development, including an assessment of the mantra ‘Leave no one behind’, and how this relates to the impacts of the Strategic Approach on gender, age, ethnicity and vulnerability?</w:t>
      </w:r>
    </w:p>
    <w:p w14:paraId="09EFB2C0" w14:textId="77777777" w:rsidR="00E5162E" w:rsidRPr="00171051" w:rsidRDefault="00E5162E" w:rsidP="00130D3D">
      <w:pPr>
        <w:pStyle w:val="ListParagraph"/>
        <w:numPr>
          <w:ilvl w:val="1"/>
          <w:numId w:val="28"/>
        </w:numPr>
        <w:spacing w:after="120" w:line="240" w:lineRule="auto"/>
        <w:ind w:right="443"/>
        <w:contextualSpacing w:val="0"/>
        <w:rPr>
          <w:rFonts w:asciiTheme="majorBidi" w:hAnsiTheme="majorBidi" w:cstheme="majorBidi"/>
          <w:bCs/>
        </w:rPr>
      </w:pPr>
      <w:r w:rsidRPr="00171051">
        <w:rPr>
          <w:rFonts w:asciiTheme="majorBidi" w:eastAsia="MS Mincho" w:hAnsiTheme="majorBidi" w:cstheme="majorBidi"/>
          <w:lang w:eastAsia="ja-JP"/>
        </w:rPr>
        <w:t>Maintenance and development of indicators of progress;</w:t>
      </w:r>
    </w:p>
    <w:p w14:paraId="4BA92300" w14:textId="77777777" w:rsidR="00E5162E" w:rsidRPr="00171051" w:rsidRDefault="00E5162E" w:rsidP="00130D3D">
      <w:pPr>
        <w:pStyle w:val="ListParagraph"/>
        <w:numPr>
          <w:ilvl w:val="1"/>
          <w:numId w:val="28"/>
        </w:numPr>
        <w:spacing w:after="120" w:line="240" w:lineRule="auto"/>
        <w:ind w:right="443"/>
        <w:contextualSpacing w:val="0"/>
        <w:rPr>
          <w:rFonts w:asciiTheme="majorBidi" w:hAnsiTheme="majorBidi" w:cstheme="majorBidi"/>
          <w:bCs/>
        </w:rPr>
      </w:pPr>
      <w:r w:rsidRPr="00171051">
        <w:rPr>
          <w:rFonts w:asciiTheme="majorBidi" w:eastAsia="MS Mincho" w:hAnsiTheme="majorBidi" w:cstheme="majorBidi"/>
          <w:lang w:eastAsia="ja-JP"/>
        </w:rPr>
        <w:t>Identifying and taking action on regional and subregional needs for advancing sound management of chemicals and waste.</w:t>
      </w:r>
    </w:p>
    <w:p w14:paraId="32B09A22" w14:textId="77777777" w:rsidR="00E5162E" w:rsidRPr="00457032" w:rsidRDefault="00E5162E" w:rsidP="00130D3D">
      <w:pPr>
        <w:pStyle w:val="ListParagraph"/>
        <w:numPr>
          <w:ilvl w:val="0"/>
          <w:numId w:val="30"/>
        </w:numPr>
        <w:spacing w:after="120" w:line="240" w:lineRule="auto"/>
        <w:ind w:right="443"/>
        <w:contextualSpacing w:val="0"/>
        <w:rPr>
          <w:rFonts w:asciiTheme="majorBidi" w:hAnsiTheme="majorBidi" w:cstheme="majorBidi"/>
        </w:rPr>
      </w:pPr>
      <w:r w:rsidRPr="00171051">
        <w:rPr>
          <w:rFonts w:asciiTheme="majorBidi" w:hAnsiTheme="majorBidi" w:cstheme="majorBidi"/>
        </w:rPr>
        <w:t>Evaluation results and lessons learnt including:</w:t>
      </w:r>
    </w:p>
    <w:p w14:paraId="3C15C9BE" w14:textId="77777777" w:rsidR="00E5162E" w:rsidRPr="00171051" w:rsidRDefault="00E5162E" w:rsidP="00130D3D">
      <w:pPr>
        <w:pStyle w:val="ListParagraph"/>
        <w:numPr>
          <w:ilvl w:val="1"/>
          <w:numId w:val="29"/>
        </w:numPr>
        <w:spacing w:after="120" w:line="240" w:lineRule="auto"/>
        <w:ind w:right="443"/>
        <w:contextualSpacing w:val="0"/>
        <w:rPr>
          <w:rFonts w:asciiTheme="majorBidi" w:eastAsia="MS Mincho" w:hAnsiTheme="majorBidi" w:cstheme="majorBidi"/>
          <w:lang w:eastAsia="ja-JP"/>
        </w:rPr>
      </w:pPr>
      <w:r w:rsidRPr="00171051">
        <w:rPr>
          <w:rFonts w:asciiTheme="majorBidi" w:eastAsia="MS Mincho" w:hAnsiTheme="majorBidi" w:cstheme="majorBidi"/>
          <w:lang w:eastAsia="ja-JP"/>
        </w:rPr>
        <w:t>Impact of the Strategic Approach: strengths weaknesses and gaps</w:t>
      </w:r>
      <w:r w:rsidR="00AD023A">
        <w:rPr>
          <w:rFonts w:asciiTheme="majorBidi" w:eastAsia="MS Mincho" w:hAnsiTheme="majorBidi" w:cstheme="majorBidi"/>
          <w:lang w:eastAsia="ja-JP"/>
        </w:rPr>
        <w:t>;</w:t>
      </w:r>
    </w:p>
    <w:p w14:paraId="2AE94B20" w14:textId="77777777" w:rsidR="00E5162E" w:rsidRPr="00171051" w:rsidRDefault="00E5162E" w:rsidP="00130D3D">
      <w:pPr>
        <w:pStyle w:val="ListParagraph"/>
        <w:numPr>
          <w:ilvl w:val="1"/>
          <w:numId w:val="29"/>
        </w:numPr>
        <w:spacing w:after="120" w:line="240" w:lineRule="auto"/>
        <w:ind w:right="443"/>
        <w:contextualSpacing w:val="0"/>
        <w:rPr>
          <w:rFonts w:asciiTheme="majorBidi" w:eastAsia="MS Mincho" w:hAnsiTheme="majorBidi" w:cstheme="majorBidi"/>
          <w:lang w:eastAsia="ja-JP"/>
        </w:rPr>
      </w:pPr>
      <w:r w:rsidRPr="00171051">
        <w:rPr>
          <w:rFonts w:asciiTheme="majorBidi" w:eastAsia="MS Mincho" w:hAnsiTheme="majorBidi" w:cstheme="majorBidi"/>
          <w:lang w:eastAsia="ja-JP"/>
        </w:rPr>
        <w:t>Progress made towards targets</w:t>
      </w:r>
      <w:r w:rsidR="00AD023A">
        <w:rPr>
          <w:rFonts w:asciiTheme="majorBidi" w:eastAsia="MS Mincho" w:hAnsiTheme="majorBidi" w:cstheme="majorBidi"/>
          <w:lang w:eastAsia="ja-JP"/>
        </w:rPr>
        <w:t>;</w:t>
      </w:r>
    </w:p>
    <w:p w14:paraId="52F3E0F1" w14:textId="77777777" w:rsidR="00E5162E" w:rsidRPr="00171051" w:rsidRDefault="00E5162E" w:rsidP="00130D3D">
      <w:pPr>
        <w:pStyle w:val="ListParagraph"/>
        <w:numPr>
          <w:ilvl w:val="1"/>
          <w:numId w:val="29"/>
        </w:numPr>
        <w:spacing w:after="120" w:line="240" w:lineRule="auto"/>
        <w:ind w:right="443"/>
        <w:contextualSpacing w:val="0"/>
        <w:rPr>
          <w:rFonts w:asciiTheme="majorBidi" w:eastAsia="MS Mincho" w:hAnsiTheme="majorBidi" w:cstheme="majorBidi"/>
          <w:lang w:eastAsia="ja-JP"/>
        </w:rPr>
      </w:pPr>
      <w:r w:rsidRPr="00171051">
        <w:rPr>
          <w:rFonts w:asciiTheme="majorBidi" w:eastAsia="MS Mincho" w:hAnsiTheme="majorBidi" w:cstheme="majorBidi"/>
          <w:lang w:eastAsia="ja-JP"/>
        </w:rPr>
        <w:t>Institutional arrangements within the voluntary multisectoral approach of the Strategic Approach</w:t>
      </w:r>
      <w:r w:rsidR="00AD023A">
        <w:rPr>
          <w:rFonts w:asciiTheme="majorBidi" w:eastAsia="MS Mincho" w:hAnsiTheme="majorBidi" w:cstheme="majorBidi"/>
          <w:lang w:eastAsia="ja-JP"/>
        </w:rPr>
        <w:t>;</w:t>
      </w:r>
    </w:p>
    <w:p w14:paraId="710960FA" w14:textId="77777777" w:rsidR="00E5162E" w:rsidRPr="00171051" w:rsidRDefault="00E5162E" w:rsidP="00130D3D">
      <w:pPr>
        <w:pStyle w:val="ListParagraph"/>
        <w:numPr>
          <w:ilvl w:val="1"/>
          <w:numId w:val="29"/>
        </w:numPr>
        <w:spacing w:after="120" w:line="240" w:lineRule="auto"/>
        <w:ind w:right="443"/>
        <w:contextualSpacing w:val="0"/>
        <w:rPr>
          <w:rFonts w:asciiTheme="majorBidi" w:eastAsia="MS Mincho" w:hAnsiTheme="majorBidi" w:cstheme="majorBidi"/>
          <w:lang w:eastAsia="ja-JP"/>
        </w:rPr>
      </w:pPr>
      <w:r w:rsidRPr="00171051">
        <w:rPr>
          <w:rFonts w:asciiTheme="majorBidi" w:eastAsia="MS Mincho" w:hAnsiTheme="majorBidi" w:cstheme="majorBidi"/>
          <w:lang w:eastAsia="ja-JP"/>
        </w:rPr>
        <w:t>Management of the Strategic Approach</w:t>
      </w:r>
      <w:r w:rsidR="00AD023A">
        <w:rPr>
          <w:rFonts w:asciiTheme="majorBidi" w:eastAsia="MS Mincho" w:hAnsiTheme="majorBidi" w:cstheme="majorBidi"/>
          <w:lang w:eastAsia="ja-JP"/>
        </w:rPr>
        <w:t>.</w:t>
      </w:r>
    </w:p>
    <w:p w14:paraId="0FDA5873" w14:textId="77777777" w:rsidR="00E5162E" w:rsidRPr="00AD023A" w:rsidRDefault="00E5162E" w:rsidP="00130D3D">
      <w:pPr>
        <w:pStyle w:val="ListParagraph"/>
        <w:numPr>
          <w:ilvl w:val="0"/>
          <w:numId w:val="30"/>
        </w:numPr>
        <w:spacing w:after="120" w:line="240" w:lineRule="auto"/>
        <w:ind w:right="443"/>
        <w:contextualSpacing w:val="0"/>
        <w:rPr>
          <w:rFonts w:asciiTheme="majorBidi" w:hAnsiTheme="majorBidi" w:cstheme="majorBidi"/>
        </w:rPr>
      </w:pPr>
      <w:r w:rsidRPr="00171051">
        <w:rPr>
          <w:rFonts w:asciiTheme="majorBidi" w:hAnsiTheme="majorBidi" w:cstheme="majorBidi"/>
        </w:rPr>
        <w:t xml:space="preserve">Annexes </w:t>
      </w:r>
    </w:p>
    <w:p w14:paraId="467FF08B" w14:textId="77777777" w:rsidR="00E5162E" w:rsidRDefault="00E5162E" w:rsidP="00E5162E">
      <w:pPr>
        <w:rPr>
          <w:rFonts w:asciiTheme="majorBidi" w:hAnsiTheme="majorBidi" w:cstheme="majorBidi"/>
          <w:b/>
        </w:rPr>
      </w:pPr>
    </w:p>
    <w:p w14:paraId="353BEA40" w14:textId="77777777" w:rsidR="00AD023A" w:rsidRDefault="00AD023A">
      <w:pPr>
        <w:rPr>
          <w:rFonts w:asciiTheme="majorBidi" w:hAnsiTheme="majorBidi" w:cstheme="majorBidi"/>
          <w:b/>
        </w:rPr>
      </w:pPr>
      <w:r>
        <w:rPr>
          <w:rFonts w:asciiTheme="majorBidi" w:hAnsiTheme="majorBidi" w:cstheme="majorBidi"/>
          <w:b/>
        </w:rPr>
        <w:br w:type="page"/>
      </w:r>
    </w:p>
    <w:p w14:paraId="5696665A" w14:textId="77777777" w:rsidR="00E5162E" w:rsidRPr="00171051" w:rsidRDefault="00E5162E" w:rsidP="00E5162E">
      <w:pPr>
        <w:rPr>
          <w:rFonts w:asciiTheme="majorBidi" w:hAnsiTheme="majorBidi" w:cstheme="majorBidi"/>
          <w:b/>
        </w:rPr>
      </w:pPr>
      <w:r w:rsidRPr="00171051">
        <w:rPr>
          <w:rFonts w:asciiTheme="majorBidi" w:hAnsiTheme="majorBidi" w:cstheme="majorBidi"/>
          <w:b/>
        </w:rPr>
        <w:lastRenderedPageBreak/>
        <w:t>5. Stages in the evaluation</w:t>
      </w:r>
    </w:p>
    <w:p w14:paraId="62E16103" w14:textId="77777777" w:rsidR="00E5162E" w:rsidRPr="00AD023A" w:rsidRDefault="00E5162E" w:rsidP="00AD023A">
      <w:pPr>
        <w:rPr>
          <w:rFonts w:asciiTheme="majorBidi" w:hAnsiTheme="majorBidi" w:cstheme="majorBidi"/>
          <w:b/>
          <w:iCs/>
        </w:rPr>
      </w:pPr>
      <w:r w:rsidRPr="00AD023A">
        <w:rPr>
          <w:rFonts w:asciiTheme="majorBidi" w:hAnsiTheme="majorBidi" w:cstheme="majorBidi"/>
          <w:b/>
          <w:iCs/>
        </w:rPr>
        <w:t>Stage 1: Interim Report</w:t>
      </w:r>
      <w:r w:rsidR="00AD023A" w:rsidRPr="00AD023A">
        <w:rPr>
          <w:rFonts w:asciiTheme="majorBidi" w:hAnsiTheme="majorBidi" w:cstheme="majorBidi"/>
          <w:b/>
          <w:iCs/>
        </w:rPr>
        <w:t xml:space="preserve"> – </w:t>
      </w:r>
      <w:r w:rsidRPr="00AD023A">
        <w:rPr>
          <w:rFonts w:asciiTheme="majorBidi" w:hAnsiTheme="majorBidi" w:cstheme="majorBidi"/>
          <w:b/>
          <w:iCs/>
        </w:rPr>
        <w:t>November 2016 to January 2017</w:t>
      </w:r>
    </w:p>
    <w:p w14:paraId="7B539384" w14:textId="77777777" w:rsidR="00E5162E" w:rsidRPr="00AD023A" w:rsidRDefault="00E5162E" w:rsidP="00AD023A">
      <w:pPr>
        <w:rPr>
          <w:rFonts w:asciiTheme="majorBidi" w:hAnsiTheme="majorBidi" w:cstheme="majorBidi"/>
        </w:rPr>
      </w:pPr>
      <w:r w:rsidRPr="00AD023A">
        <w:rPr>
          <w:rFonts w:asciiTheme="majorBidi" w:hAnsiTheme="majorBidi" w:cstheme="majorBidi"/>
        </w:rPr>
        <w:t>The interim report will be presented to the first intersessional meeting of the intersessional process for SAICM and the sound management of chemicals and waste beyond 2020.</w:t>
      </w:r>
      <w:r w:rsidR="00AD023A" w:rsidRPr="00AD023A">
        <w:rPr>
          <w:rFonts w:asciiTheme="majorBidi" w:hAnsiTheme="majorBidi" w:cstheme="majorBidi"/>
        </w:rPr>
        <w:t xml:space="preserve">  It will be made available one month in advance of the first intersessional meeting. </w:t>
      </w:r>
    </w:p>
    <w:p w14:paraId="504F3094" w14:textId="77777777" w:rsidR="00E5162E" w:rsidRPr="00171051" w:rsidRDefault="00E5162E" w:rsidP="00E5162E">
      <w:pPr>
        <w:rPr>
          <w:rFonts w:asciiTheme="majorBidi" w:hAnsiTheme="majorBidi" w:cstheme="majorBidi"/>
        </w:rPr>
      </w:pPr>
      <w:r w:rsidRPr="00171051">
        <w:rPr>
          <w:rFonts w:asciiTheme="majorBidi" w:hAnsiTheme="majorBidi" w:cstheme="majorBidi"/>
        </w:rPr>
        <w:t>The interim report will comprise of the following elements:</w:t>
      </w:r>
    </w:p>
    <w:p w14:paraId="090780E6" w14:textId="77777777" w:rsidR="00E5162E" w:rsidRPr="00171051" w:rsidRDefault="00E5162E" w:rsidP="00E5162E">
      <w:pPr>
        <w:rPr>
          <w:rFonts w:asciiTheme="majorBidi" w:hAnsiTheme="majorBidi" w:cstheme="majorBidi"/>
          <w:u w:val="single"/>
        </w:rPr>
      </w:pPr>
      <w:r w:rsidRPr="00171051">
        <w:rPr>
          <w:rFonts w:asciiTheme="majorBidi" w:hAnsiTheme="majorBidi" w:cstheme="majorBidi"/>
          <w:u w:val="single"/>
        </w:rPr>
        <w:t>Literature review</w:t>
      </w:r>
    </w:p>
    <w:p w14:paraId="7FE8B6F1" w14:textId="77777777" w:rsidR="00E5162E" w:rsidRPr="00171051" w:rsidRDefault="00E5162E" w:rsidP="00E5162E">
      <w:pPr>
        <w:rPr>
          <w:rFonts w:asciiTheme="majorBidi" w:hAnsiTheme="majorBidi" w:cstheme="majorBidi"/>
        </w:rPr>
      </w:pPr>
      <w:r w:rsidRPr="00171051">
        <w:rPr>
          <w:rFonts w:asciiTheme="majorBidi" w:hAnsiTheme="majorBidi" w:cstheme="majorBidi"/>
        </w:rPr>
        <w:t xml:space="preserve">This stage will involve reviewing relevant documents relating to the progress to date in meeting the five SAICM objectives. Such documents will include: annual monitoring reports on progress towards the indicators; outputs of the current national focal point reporting mechanisms; QSP evaluation; reports of regional, national and thematic meetings (e.g. for the new and emerging issues); Overall orientation and guidance for achieving the 2020 goal of sound management of chemicals. </w:t>
      </w:r>
    </w:p>
    <w:p w14:paraId="1DBF2F05" w14:textId="77777777" w:rsidR="00E5162E" w:rsidRPr="00171051" w:rsidRDefault="00E5162E" w:rsidP="00E5162E">
      <w:pPr>
        <w:rPr>
          <w:rFonts w:asciiTheme="majorBidi" w:hAnsiTheme="majorBidi" w:cstheme="majorBidi"/>
          <w:u w:val="single"/>
        </w:rPr>
      </w:pPr>
      <w:r w:rsidRPr="00171051">
        <w:rPr>
          <w:rFonts w:asciiTheme="majorBidi" w:hAnsiTheme="majorBidi" w:cstheme="majorBidi"/>
          <w:u w:val="single"/>
        </w:rPr>
        <w:t>Conceptual framework</w:t>
      </w:r>
    </w:p>
    <w:p w14:paraId="4A7B82D8" w14:textId="77777777" w:rsidR="00E5162E" w:rsidRPr="00171051" w:rsidRDefault="00E5162E" w:rsidP="00E5162E">
      <w:pPr>
        <w:rPr>
          <w:rFonts w:asciiTheme="majorBidi" w:hAnsiTheme="majorBidi" w:cstheme="majorBidi"/>
        </w:rPr>
      </w:pPr>
      <w:r w:rsidRPr="00171051">
        <w:rPr>
          <w:rFonts w:asciiTheme="majorBidi" w:hAnsiTheme="majorBidi" w:cstheme="majorBidi"/>
        </w:rPr>
        <w:t>A draft Theory of Change will be presented in the interim report. This will be developed by the independent evaluator, and be based on the literature review and the findings from the on-line survey (see below).</w:t>
      </w:r>
    </w:p>
    <w:p w14:paraId="7F5782DD" w14:textId="77777777" w:rsidR="00E5162E" w:rsidRPr="00171051" w:rsidRDefault="00E5162E" w:rsidP="00E5162E">
      <w:pPr>
        <w:rPr>
          <w:rFonts w:asciiTheme="majorBidi" w:hAnsiTheme="majorBidi" w:cstheme="majorBidi"/>
        </w:rPr>
      </w:pPr>
      <w:r w:rsidRPr="00171051">
        <w:rPr>
          <w:rFonts w:asciiTheme="majorBidi" w:hAnsiTheme="majorBidi" w:cstheme="majorBidi"/>
        </w:rPr>
        <w:t>The analytical framework to be used to assess the impacts of the SAICM policy framework will draw on the ‘3i’s’ approach that frames the success of policy on the interaction between interests, ideas/ ideology and the institutions of stakeholders. The analysis will further review the process by which the SAICM policy outcomes were negotiated between the different stakeholder groups, and assess the degree of bargaining that took place and the trade-offs that different stakeholders made in order to agree the policy outcomes.</w:t>
      </w:r>
    </w:p>
    <w:p w14:paraId="5B4455CA" w14:textId="77777777" w:rsidR="00E5162E" w:rsidRPr="00171051" w:rsidRDefault="00E5162E" w:rsidP="00E5162E">
      <w:pPr>
        <w:rPr>
          <w:rFonts w:asciiTheme="majorBidi" w:hAnsiTheme="majorBidi" w:cstheme="majorBidi"/>
        </w:rPr>
      </w:pPr>
      <w:r w:rsidRPr="00171051">
        <w:rPr>
          <w:rFonts w:asciiTheme="majorBidi" w:hAnsiTheme="majorBidi" w:cstheme="majorBidi"/>
        </w:rPr>
        <w:t>A further dimension will be to assess the extent to which policy is implemented, through the degree of influence wielded by the interests of technical and policy experts, in particular through identifying the moments at which these stakeholders have the space to act autonomously in a manner that is best for the whole.</w:t>
      </w:r>
    </w:p>
    <w:p w14:paraId="679C09D0" w14:textId="77777777" w:rsidR="00E5162E" w:rsidRPr="00171051" w:rsidRDefault="00E5162E" w:rsidP="00E5162E">
      <w:pPr>
        <w:rPr>
          <w:rFonts w:asciiTheme="majorBidi" w:hAnsiTheme="majorBidi" w:cstheme="majorBidi"/>
        </w:rPr>
      </w:pPr>
      <w:r w:rsidRPr="00171051">
        <w:rPr>
          <w:rFonts w:asciiTheme="majorBidi" w:hAnsiTheme="majorBidi" w:cstheme="majorBidi"/>
        </w:rPr>
        <w:t>The final element in the conceptual framework will be to assess the degree to which SAICM policies and their implementation are co-produced by SAICM stakeholders.</w:t>
      </w:r>
    </w:p>
    <w:p w14:paraId="68314BD3" w14:textId="77777777" w:rsidR="00E5162E" w:rsidRPr="00171051" w:rsidRDefault="00E5162E" w:rsidP="00E5162E">
      <w:pPr>
        <w:rPr>
          <w:rFonts w:asciiTheme="majorBidi" w:hAnsiTheme="majorBidi" w:cstheme="majorBidi"/>
          <w:u w:val="single"/>
        </w:rPr>
      </w:pPr>
      <w:r w:rsidRPr="00171051">
        <w:rPr>
          <w:rFonts w:asciiTheme="majorBidi" w:hAnsiTheme="majorBidi" w:cstheme="majorBidi"/>
          <w:u w:val="single"/>
        </w:rPr>
        <w:t>Findings of on-line survey</w:t>
      </w:r>
    </w:p>
    <w:p w14:paraId="4636C0A2" w14:textId="77777777" w:rsidR="00E5162E" w:rsidRPr="00171051" w:rsidRDefault="00E5162E" w:rsidP="00E5162E">
      <w:pPr>
        <w:rPr>
          <w:rFonts w:asciiTheme="majorBidi" w:hAnsiTheme="majorBidi" w:cstheme="majorBidi"/>
        </w:rPr>
      </w:pPr>
      <w:r w:rsidRPr="00171051">
        <w:rPr>
          <w:rFonts w:asciiTheme="majorBidi" w:hAnsiTheme="majorBidi" w:cstheme="majorBidi"/>
        </w:rPr>
        <w:t>An on-line survey will be circulated during the month of November to key stakeholders involved in SAICM implementation. They are:</w:t>
      </w:r>
    </w:p>
    <w:p w14:paraId="3D88DEAB" w14:textId="77777777" w:rsidR="00E5162E" w:rsidRPr="00171051" w:rsidRDefault="00E5162E" w:rsidP="00E5162E">
      <w:pPr>
        <w:pStyle w:val="ListParagraph"/>
        <w:numPr>
          <w:ilvl w:val="0"/>
          <w:numId w:val="19"/>
        </w:numPr>
        <w:spacing w:after="0" w:line="240" w:lineRule="auto"/>
        <w:rPr>
          <w:rFonts w:asciiTheme="majorBidi" w:hAnsiTheme="majorBidi" w:cstheme="majorBidi"/>
        </w:rPr>
      </w:pPr>
      <w:r w:rsidRPr="00171051">
        <w:rPr>
          <w:rFonts w:asciiTheme="majorBidi" w:hAnsiTheme="majorBidi" w:cstheme="majorBidi"/>
        </w:rPr>
        <w:t>ICCM5 and ICCM4 Bureau members</w:t>
      </w:r>
    </w:p>
    <w:p w14:paraId="46D31B77" w14:textId="77777777" w:rsidR="00E5162E" w:rsidRPr="00171051" w:rsidRDefault="00E5162E" w:rsidP="00E5162E">
      <w:pPr>
        <w:pStyle w:val="ListParagraph"/>
        <w:numPr>
          <w:ilvl w:val="0"/>
          <w:numId w:val="19"/>
        </w:numPr>
        <w:spacing w:after="0" w:line="240" w:lineRule="auto"/>
        <w:rPr>
          <w:rFonts w:asciiTheme="majorBidi" w:hAnsiTheme="majorBidi" w:cstheme="majorBidi"/>
        </w:rPr>
      </w:pPr>
      <w:r w:rsidRPr="00171051">
        <w:rPr>
          <w:rFonts w:asciiTheme="majorBidi" w:hAnsiTheme="majorBidi" w:cstheme="majorBidi"/>
        </w:rPr>
        <w:t xml:space="preserve">SAICM Regional focal points </w:t>
      </w:r>
    </w:p>
    <w:p w14:paraId="2BD179CD" w14:textId="77777777" w:rsidR="00E5162E" w:rsidRPr="00171051" w:rsidRDefault="00E5162E" w:rsidP="00E5162E">
      <w:pPr>
        <w:pStyle w:val="ListParagraph"/>
        <w:numPr>
          <w:ilvl w:val="0"/>
          <w:numId w:val="19"/>
        </w:numPr>
        <w:spacing w:after="0" w:line="240" w:lineRule="auto"/>
        <w:rPr>
          <w:rFonts w:asciiTheme="majorBidi" w:hAnsiTheme="majorBidi" w:cstheme="majorBidi"/>
        </w:rPr>
      </w:pPr>
      <w:r w:rsidRPr="00171051">
        <w:rPr>
          <w:rFonts w:asciiTheme="majorBidi" w:hAnsiTheme="majorBidi" w:cstheme="majorBidi"/>
        </w:rPr>
        <w:t>SAICM National focal points</w:t>
      </w:r>
    </w:p>
    <w:p w14:paraId="1E3A7196" w14:textId="77777777" w:rsidR="00E5162E" w:rsidRPr="00171051" w:rsidRDefault="00E5162E" w:rsidP="00E5162E">
      <w:pPr>
        <w:pStyle w:val="ListParagraph"/>
        <w:numPr>
          <w:ilvl w:val="0"/>
          <w:numId w:val="19"/>
        </w:numPr>
        <w:spacing w:after="0" w:line="240" w:lineRule="auto"/>
        <w:rPr>
          <w:rFonts w:asciiTheme="majorBidi" w:hAnsiTheme="majorBidi" w:cstheme="majorBidi"/>
        </w:rPr>
      </w:pPr>
      <w:r w:rsidRPr="00171051">
        <w:rPr>
          <w:rFonts w:asciiTheme="majorBidi" w:hAnsiTheme="majorBidi" w:cstheme="majorBidi"/>
        </w:rPr>
        <w:t>UN agencies through the Inter-Organization Programme for the Sound Management of Chemicals (IOMC)</w:t>
      </w:r>
    </w:p>
    <w:p w14:paraId="43243F3D" w14:textId="77777777" w:rsidR="00E5162E" w:rsidRPr="00171051" w:rsidRDefault="00E5162E" w:rsidP="00E5162E">
      <w:pPr>
        <w:pStyle w:val="ListParagraph"/>
        <w:numPr>
          <w:ilvl w:val="0"/>
          <w:numId w:val="19"/>
        </w:numPr>
        <w:spacing w:after="0" w:line="240" w:lineRule="auto"/>
        <w:rPr>
          <w:rFonts w:asciiTheme="majorBidi" w:hAnsiTheme="majorBidi" w:cstheme="majorBidi"/>
        </w:rPr>
      </w:pPr>
      <w:r w:rsidRPr="00171051">
        <w:rPr>
          <w:rFonts w:asciiTheme="majorBidi" w:hAnsiTheme="majorBidi" w:cstheme="majorBidi"/>
        </w:rPr>
        <w:t>Trade Union NGO focal points</w:t>
      </w:r>
    </w:p>
    <w:p w14:paraId="609AE664" w14:textId="77777777" w:rsidR="00E5162E" w:rsidRPr="00171051" w:rsidRDefault="00E5162E" w:rsidP="00E5162E">
      <w:pPr>
        <w:pStyle w:val="ListParagraph"/>
        <w:numPr>
          <w:ilvl w:val="0"/>
          <w:numId w:val="19"/>
        </w:numPr>
        <w:spacing w:after="0" w:line="240" w:lineRule="auto"/>
        <w:rPr>
          <w:rFonts w:asciiTheme="majorBidi" w:hAnsiTheme="majorBidi" w:cstheme="majorBidi"/>
        </w:rPr>
      </w:pPr>
      <w:r w:rsidRPr="00171051">
        <w:rPr>
          <w:rFonts w:asciiTheme="majorBidi" w:hAnsiTheme="majorBidi" w:cstheme="majorBidi"/>
        </w:rPr>
        <w:t xml:space="preserve">Civil society NGO focal points </w:t>
      </w:r>
    </w:p>
    <w:p w14:paraId="3185855D" w14:textId="77777777" w:rsidR="00E5162E" w:rsidRPr="00171051" w:rsidRDefault="00E5162E" w:rsidP="00E5162E">
      <w:pPr>
        <w:pStyle w:val="ListParagraph"/>
        <w:numPr>
          <w:ilvl w:val="0"/>
          <w:numId w:val="19"/>
        </w:numPr>
        <w:spacing w:after="0" w:line="240" w:lineRule="auto"/>
        <w:rPr>
          <w:rFonts w:asciiTheme="majorBidi" w:hAnsiTheme="majorBidi" w:cstheme="majorBidi"/>
        </w:rPr>
      </w:pPr>
      <w:r w:rsidRPr="00171051">
        <w:rPr>
          <w:rFonts w:asciiTheme="majorBidi" w:hAnsiTheme="majorBidi" w:cstheme="majorBidi"/>
        </w:rPr>
        <w:t xml:space="preserve">Industry focal points </w:t>
      </w:r>
    </w:p>
    <w:p w14:paraId="6A59FE00" w14:textId="77777777" w:rsidR="00E5162E" w:rsidRPr="00171051" w:rsidRDefault="00E5162E" w:rsidP="00E5162E">
      <w:pPr>
        <w:pStyle w:val="ListParagraph"/>
        <w:numPr>
          <w:ilvl w:val="0"/>
          <w:numId w:val="19"/>
        </w:numPr>
        <w:spacing w:after="0" w:line="240" w:lineRule="auto"/>
        <w:rPr>
          <w:rFonts w:asciiTheme="majorBidi" w:hAnsiTheme="majorBidi" w:cstheme="majorBidi"/>
        </w:rPr>
      </w:pPr>
      <w:r w:rsidRPr="00171051">
        <w:rPr>
          <w:rFonts w:asciiTheme="majorBidi" w:hAnsiTheme="majorBidi" w:cstheme="majorBidi"/>
        </w:rPr>
        <w:lastRenderedPageBreak/>
        <w:t>Health NGO focal points</w:t>
      </w:r>
    </w:p>
    <w:p w14:paraId="19722F34" w14:textId="77777777" w:rsidR="00E5162E" w:rsidRPr="00171051" w:rsidRDefault="00E5162E" w:rsidP="00E5162E">
      <w:pPr>
        <w:pStyle w:val="ListParagraph"/>
        <w:numPr>
          <w:ilvl w:val="0"/>
          <w:numId w:val="19"/>
        </w:numPr>
        <w:spacing w:after="0" w:line="240" w:lineRule="auto"/>
        <w:rPr>
          <w:rFonts w:asciiTheme="majorBidi" w:hAnsiTheme="majorBidi" w:cstheme="majorBidi"/>
        </w:rPr>
      </w:pPr>
      <w:r w:rsidRPr="00171051">
        <w:rPr>
          <w:rFonts w:asciiTheme="majorBidi" w:hAnsiTheme="majorBidi" w:cstheme="majorBidi"/>
        </w:rPr>
        <w:t>Executive Board of the Quick Start Programme</w:t>
      </w:r>
    </w:p>
    <w:p w14:paraId="4C899244" w14:textId="77777777" w:rsidR="00E5162E" w:rsidRPr="00171051" w:rsidRDefault="00E5162E" w:rsidP="00E5162E">
      <w:pPr>
        <w:pStyle w:val="ListParagraph"/>
        <w:numPr>
          <w:ilvl w:val="0"/>
          <w:numId w:val="19"/>
        </w:numPr>
        <w:spacing w:after="0" w:line="240" w:lineRule="auto"/>
        <w:rPr>
          <w:rFonts w:asciiTheme="majorBidi" w:hAnsiTheme="majorBidi" w:cstheme="majorBidi"/>
        </w:rPr>
      </w:pPr>
      <w:r w:rsidRPr="00171051">
        <w:rPr>
          <w:rFonts w:asciiTheme="majorBidi" w:hAnsiTheme="majorBidi" w:cstheme="majorBidi"/>
        </w:rPr>
        <w:t>SAICM Secretariat</w:t>
      </w:r>
    </w:p>
    <w:p w14:paraId="54BD1344" w14:textId="77777777" w:rsidR="00E5162E" w:rsidRDefault="00E5162E" w:rsidP="00E5162E">
      <w:pPr>
        <w:rPr>
          <w:rFonts w:asciiTheme="majorBidi" w:hAnsiTheme="majorBidi" w:cstheme="majorBidi"/>
        </w:rPr>
      </w:pPr>
    </w:p>
    <w:p w14:paraId="74990C5D" w14:textId="77777777" w:rsidR="00E5162E" w:rsidRPr="00171051" w:rsidRDefault="00E5162E" w:rsidP="00AD023A">
      <w:pPr>
        <w:rPr>
          <w:rFonts w:asciiTheme="majorBidi" w:hAnsiTheme="majorBidi" w:cstheme="majorBidi"/>
        </w:rPr>
      </w:pPr>
      <w:r>
        <w:rPr>
          <w:rFonts w:asciiTheme="majorBidi" w:hAnsiTheme="majorBidi" w:cstheme="majorBidi"/>
        </w:rPr>
        <w:t xml:space="preserve">The survey, which will be placed on the SAICM website, will also be open to ‘others’ who wish to participate. </w:t>
      </w:r>
      <w:r w:rsidRPr="00171051">
        <w:rPr>
          <w:rFonts w:asciiTheme="majorBidi" w:hAnsiTheme="majorBidi" w:cstheme="majorBidi"/>
        </w:rPr>
        <w:t xml:space="preserve">The questions are designed to provide initial insight into the key questions presented in the ‘Scope of Evaluation’ above from the perspective of the different stakeholders.  </w:t>
      </w:r>
    </w:p>
    <w:p w14:paraId="2E7C44DF" w14:textId="77777777" w:rsidR="00E5162E" w:rsidRPr="00171051" w:rsidRDefault="00E5162E" w:rsidP="00E5162E">
      <w:pPr>
        <w:rPr>
          <w:rFonts w:asciiTheme="majorBidi" w:hAnsiTheme="majorBidi" w:cstheme="majorBidi"/>
        </w:rPr>
      </w:pPr>
    </w:p>
    <w:p w14:paraId="706AE6DE" w14:textId="77777777" w:rsidR="00E5162E" w:rsidRPr="00AD023A" w:rsidRDefault="00E5162E" w:rsidP="00AD023A">
      <w:pPr>
        <w:rPr>
          <w:rFonts w:asciiTheme="majorBidi" w:hAnsiTheme="majorBidi" w:cstheme="majorBidi"/>
          <w:b/>
          <w:iCs/>
        </w:rPr>
      </w:pPr>
      <w:r w:rsidRPr="00AD023A">
        <w:rPr>
          <w:rFonts w:asciiTheme="majorBidi" w:hAnsiTheme="majorBidi" w:cstheme="majorBidi"/>
          <w:b/>
          <w:iCs/>
        </w:rPr>
        <w:t xml:space="preserve">Stage 2: Comprehensive evaluation and review period </w:t>
      </w:r>
      <w:r w:rsidR="00AD023A">
        <w:rPr>
          <w:rFonts w:asciiTheme="majorBidi" w:hAnsiTheme="majorBidi" w:cstheme="majorBidi"/>
          <w:b/>
          <w:iCs/>
        </w:rPr>
        <w:t xml:space="preserve">– </w:t>
      </w:r>
      <w:r w:rsidRPr="00AD023A">
        <w:rPr>
          <w:rFonts w:asciiTheme="majorBidi" w:hAnsiTheme="majorBidi" w:cstheme="majorBidi"/>
          <w:b/>
          <w:iCs/>
        </w:rPr>
        <w:t>February 2017 to October 2017</w:t>
      </w:r>
    </w:p>
    <w:p w14:paraId="5027B3E8" w14:textId="77777777" w:rsidR="00E5162E" w:rsidRPr="00171051" w:rsidRDefault="00E5162E" w:rsidP="00E5162E">
      <w:pPr>
        <w:rPr>
          <w:rFonts w:asciiTheme="majorBidi" w:hAnsiTheme="majorBidi" w:cstheme="majorBidi"/>
        </w:rPr>
      </w:pPr>
      <w:r w:rsidRPr="00171051">
        <w:rPr>
          <w:rFonts w:asciiTheme="majorBidi" w:hAnsiTheme="majorBidi" w:cstheme="majorBidi"/>
        </w:rPr>
        <w:t>The period of February to October 2017 will be the comprehensive evaluation and review period.</w:t>
      </w:r>
    </w:p>
    <w:p w14:paraId="1E2D9C6E" w14:textId="77777777" w:rsidR="00E5162E" w:rsidRPr="00171051" w:rsidRDefault="00E5162E" w:rsidP="00E5162E">
      <w:pPr>
        <w:rPr>
          <w:rFonts w:asciiTheme="majorBidi" w:hAnsiTheme="majorBidi" w:cstheme="majorBidi"/>
        </w:rPr>
      </w:pPr>
      <w:r w:rsidRPr="00171051">
        <w:rPr>
          <w:rFonts w:asciiTheme="majorBidi" w:hAnsiTheme="majorBidi" w:cstheme="majorBidi"/>
        </w:rPr>
        <w:t xml:space="preserve">At the first meeting of the intersessional process for SAICM and the sound management of chemicals and waste beyond 2020 in Brasilia (7-9 February 2017), the evaluator will present the findings from the interim report. </w:t>
      </w:r>
    </w:p>
    <w:p w14:paraId="56D6F6EF" w14:textId="77777777" w:rsidR="00E5162E" w:rsidRPr="00171051" w:rsidRDefault="00E5162E" w:rsidP="00E5162E">
      <w:pPr>
        <w:rPr>
          <w:rFonts w:asciiTheme="majorBidi" w:hAnsiTheme="majorBidi" w:cstheme="majorBidi"/>
        </w:rPr>
      </w:pPr>
      <w:r w:rsidRPr="00171051">
        <w:rPr>
          <w:rFonts w:asciiTheme="majorBidi" w:hAnsiTheme="majorBidi" w:cstheme="majorBidi"/>
        </w:rPr>
        <w:t xml:space="preserve">Participants in the meeting will have the opportunity to provide </w:t>
      </w:r>
      <w:r>
        <w:rPr>
          <w:rFonts w:asciiTheme="majorBidi" w:hAnsiTheme="majorBidi" w:cstheme="majorBidi"/>
        </w:rPr>
        <w:t xml:space="preserve">comments and </w:t>
      </w:r>
      <w:r w:rsidRPr="00171051">
        <w:rPr>
          <w:rFonts w:asciiTheme="majorBidi" w:hAnsiTheme="majorBidi" w:cstheme="majorBidi"/>
        </w:rPr>
        <w:t xml:space="preserve">input to the interim report.  In addition, the report will be made available on the SAICM website and comments will be welcomed through an on-line discussion forum.  </w:t>
      </w:r>
    </w:p>
    <w:p w14:paraId="0FCC19E6" w14:textId="77777777" w:rsidR="00E5162E" w:rsidRPr="00171051" w:rsidRDefault="00E5162E" w:rsidP="00E5162E">
      <w:pPr>
        <w:rPr>
          <w:rFonts w:asciiTheme="majorBidi" w:hAnsiTheme="majorBidi" w:cstheme="majorBidi"/>
        </w:rPr>
      </w:pPr>
      <w:r w:rsidRPr="00171051">
        <w:rPr>
          <w:rFonts w:asciiTheme="majorBidi" w:hAnsiTheme="majorBidi" w:cstheme="majorBidi"/>
        </w:rPr>
        <w:t xml:space="preserve">Also at the first intersessional meeting, the evaluator will facilitate focus group discussions with the different stakeholder groups attending the meeting.  </w:t>
      </w:r>
    </w:p>
    <w:p w14:paraId="240A55B0" w14:textId="77777777" w:rsidR="00E5162E" w:rsidRPr="00171051" w:rsidRDefault="00E5162E" w:rsidP="00E5162E">
      <w:pPr>
        <w:rPr>
          <w:rFonts w:asciiTheme="majorBidi" w:hAnsiTheme="majorBidi" w:cstheme="majorBidi"/>
        </w:rPr>
      </w:pPr>
      <w:r w:rsidRPr="00171051">
        <w:rPr>
          <w:rFonts w:asciiTheme="majorBidi" w:hAnsiTheme="majorBidi" w:cstheme="majorBidi"/>
        </w:rPr>
        <w:t>The aim of these focus group discussions will be to enable the different stakeholders to reflect on the findings in the interim report, to articulate their views and perspectives on the Theory of Change model, the SAICM policy process, their role within this, and the progress made towards the 2020 goal. For each focus group, areas for discussion will include some or all of the following topics:</w:t>
      </w:r>
    </w:p>
    <w:p w14:paraId="3B85FF34" w14:textId="77777777" w:rsidR="00E5162E" w:rsidRPr="00171051" w:rsidRDefault="00E5162E" w:rsidP="00E5162E">
      <w:pPr>
        <w:pStyle w:val="ListParagraph"/>
        <w:numPr>
          <w:ilvl w:val="0"/>
          <w:numId w:val="21"/>
        </w:numPr>
        <w:spacing w:after="0" w:line="240" w:lineRule="auto"/>
        <w:rPr>
          <w:rFonts w:asciiTheme="majorBidi" w:hAnsiTheme="majorBidi" w:cstheme="majorBidi"/>
        </w:rPr>
      </w:pPr>
      <w:r w:rsidRPr="00171051">
        <w:rPr>
          <w:rFonts w:asciiTheme="majorBidi" w:hAnsiTheme="majorBidi" w:cstheme="majorBidi"/>
        </w:rPr>
        <w:t>How stakeholders perceive how SAICM works and how it has affected chemical management in their countries;</w:t>
      </w:r>
    </w:p>
    <w:p w14:paraId="1E9C458F" w14:textId="77777777" w:rsidR="00E5162E" w:rsidRPr="00171051" w:rsidRDefault="00E5162E" w:rsidP="00E5162E">
      <w:pPr>
        <w:pStyle w:val="ListParagraph"/>
        <w:numPr>
          <w:ilvl w:val="0"/>
          <w:numId w:val="21"/>
        </w:numPr>
        <w:spacing w:after="0" w:line="240" w:lineRule="auto"/>
        <w:rPr>
          <w:rFonts w:asciiTheme="majorBidi" w:hAnsiTheme="majorBidi" w:cstheme="majorBidi"/>
        </w:rPr>
      </w:pPr>
      <w:r w:rsidRPr="00171051">
        <w:rPr>
          <w:rFonts w:asciiTheme="majorBidi" w:hAnsiTheme="majorBidi" w:cstheme="majorBidi"/>
        </w:rPr>
        <w:t>The progress made in meeting the SAICM objectives;</w:t>
      </w:r>
    </w:p>
    <w:p w14:paraId="6C25465A" w14:textId="77777777" w:rsidR="00E5162E" w:rsidRPr="00171051" w:rsidRDefault="00E5162E" w:rsidP="00E5162E">
      <w:pPr>
        <w:pStyle w:val="ListParagraph"/>
        <w:numPr>
          <w:ilvl w:val="0"/>
          <w:numId w:val="21"/>
        </w:numPr>
        <w:spacing w:after="0" w:line="240" w:lineRule="auto"/>
        <w:rPr>
          <w:rFonts w:asciiTheme="majorBidi" w:hAnsiTheme="majorBidi" w:cstheme="majorBidi"/>
        </w:rPr>
      </w:pPr>
      <w:r w:rsidRPr="00171051">
        <w:rPr>
          <w:rFonts w:asciiTheme="majorBidi" w:hAnsiTheme="majorBidi" w:cstheme="majorBidi"/>
        </w:rPr>
        <w:t>Challenges and opportunities in meeting the SAICM objectives;</w:t>
      </w:r>
    </w:p>
    <w:p w14:paraId="6D08EEDE" w14:textId="77777777" w:rsidR="00E5162E" w:rsidRPr="00171051" w:rsidRDefault="00E5162E" w:rsidP="00E5162E">
      <w:pPr>
        <w:pStyle w:val="ListParagraph"/>
        <w:numPr>
          <w:ilvl w:val="0"/>
          <w:numId w:val="21"/>
        </w:numPr>
        <w:spacing w:after="0" w:line="240" w:lineRule="auto"/>
        <w:rPr>
          <w:rFonts w:asciiTheme="majorBidi" w:hAnsiTheme="majorBidi" w:cstheme="majorBidi"/>
        </w:rPr>
      </w:pPr>
      <w:r w:rsidRPr="00171051">
        <w:rPr>
          <w:rFonts w:asciiTheme="majorBidi" w:hAnsiTheme="majorBidi" w:cstheme="majorBidi"/>
        </w:rPr>
        <w:t>Financing: success in mainstreaming chemicals and chemical waste in national budgets, extent of industry involvement and financial support, access to external financing;</w:t>
      </w:r>
    </w:p>
    <w:p w14:paraId="0AC0A460" w14:textId="77777777" w:rsidR="00E5162E" w:rsidRPr="00171051" w:rsidRDefault="00E5162E" w:rsidP="00E5162E">
      <w:pPr>
        <w:pStyle w:val="ListParagraph"/>
        <w:numPr>
          <w:ilvl w:val="0"/>
          <w:numId w:val="21"/>
        </w:numPr>
        <w:spacing w:after="0" w:line="240" w:lineRule="auto"/>
        <w:rPr>
          <w:rFonts w:asciiTheme="majorBidi" w:hAnsiTheme="majorBidi" w:cstheme="majorBidi"/>
        </w:rPr>
      </w:pPr>
      <w:r w:rsidRPr="00171051">
        <w:rPr>
          <w:rFonts w:asciiTheme="majorBidi" w:hAnsiTheme="majorBidi" w:cstheme="majorBidi"/>
        </w:rPr>
        <w:t>Assessment of capacity needs of national focal points to fulfill their roles.</w:t>
      </w:r>
    </w:p>
    <w:p w14:paraId="1B6EB5BE" w14:textId="77777777" w:rsidR="00E5162E" w:rsidRPr="00171051" w:rsidRDefault="00E5162E" w:rsidP="00E5162E">
      <w:pPr>
        <w:rPr>
          <w:rFonts w:asciiTheme="majorBidi" w:hAnsiTheme="majorBidi" w:cstheme="majorBidi"/>
        </w:rPr>
      </w:pPr>
    </w:p>
    <w:p w14:paraId="013EFCB7" w14:textId="77777777" w:rsidR="00E5162E" w:rsidRPr="00171051" w:rsidRDefault="00E5162E" w:rsidP="00E5162E">
      <w:pPr>
        <w:rPr>
          <w:rFonts w:asciiTheme="majorBidi" w:hAnsiTheme="majorBidi" w:cstheme="majorBidi"/>
        </w:rPr>
      </w:pPr>
      <w:r w:rsidRPr="00171051">
        <w:rPr>
          <w:rFonts w:asciiTheme="majorBidi" w:hAnsiTheme="majorBidi" w:cstheme="majorBidi"/>
        </w:rPr>
        <w:t xml:space="preserve">It is proposed that over the three days, breakfast </w:t>
      </w:r>
      <w:r>
        <w:rPr>
          <w:rFonts w:asciiTheme="majorBidi" w:hAnsiTheme="majorBidi" w:cstheme="majorBidi"/>
        </w:rPr>
        <w:t>F</w:t>
      </w:r>
      <w:r w:rsidRPr="00171051">
        <w:rPr>
          <w:rFonts w:asciiTheme="majorBidi" w:hAnsiTheme="majorBidi" w:cstheme="majorBidi"/>
        </w:rPr>
        <w:t xml:space="preserve">ocus </w:t>
      </w:r>
      <w:r>
        <w:rPr>
          <w:rFonts w:asciiTheme="majorBidi" w:hAnsiTheme="majorBidi" w:cstheme="majorBidi"/>
        </w:rPr>
        <w:t>G</w:t>
      </w:r>
      <w:r w:rsidRPr="00171051">
        <w:rPr>
          <w:rFonts w:asciiTheme="majorBidi" w:hAnsiTheme="majorBidi" w:cstheme="majorBidi"/>
        </w:rPr>
        <w:t xml:space="preserve">roup meetings, and evening focus group meetings will be held. It is also proposed to have </w:t>
      </w:r>
      <w:r>
        <w:rPr>
          <w:rFonts w:asciiTheme="majorBidi" w:hAnsiTheme="majorBidi" w:cstheme="majorBidi"/>
        </w:rPr>
        <w:t>F</w:t>
      </w:r>
      <w:r w:rsidRPr="00171051">
        <w:rPr>
          <w:rFonts w:asciiTheme="majorBidi" w:hAnsiTheme="majorBidi" w:cstheme="majorBidi"/>
        </w:rPr>
        <w:t xml:space="preserve">ocus </w:t>
      </w:r>
      <w:r>
        <w:rPr>
          <w:rFonts w:asciiTheme="majorBidi" w:hAnsiTheme="majorBidi" w:cstheme="majorBidi"/>
        </w:rPr>
        <w:t>G</w:t>
      </w:r>
      <w:r w:rsidRPr="00171051">
        <w:rPr>
          <w:rFonts w:asciiTheme="majorBidi" w:hAnsiTheme="majorBidi" w:cstheme="majorBidi"/>
        </w:rPr>
        <w:t xml:space="preserve">roups on Monday 6 February and Friday 10 February 2017.  </w:t>
      </w:r>
    </w:p>
    <w:p w14:paraId="68719EEB" w14:textId="77777777" w:rsidR="00E5162E" w:rsidRPr="00171051" w:rsidRDefault="00E5162E" w:rsidP="00E5162E">
      <w:pPr>
        <w:rPr>
          <w:rFonts w:asciiTheme="majorBidi" w:hAnsiTheme="majorBidi" w:cstheme="majorBidi"/>
        </w:rPr>
      </w:pPr>
      <w:r w:rsidRPr="00171051">
        <w:rPr>
          <w:rFonts w:asciiTheme="majorBidi" w:hAnsiTheme="majorBidi" w:cstheme="majorBidi"/>
        </w:rPr>
        <w:t xml:space="preserve">Each </w:t>
      </w:r>
      <w:r>
        <w:rPr>
          <w:rFonts w:asciiTheme="majorBidi" w:hAnsiTheme="majorBidi" w:cstheme="majorBidi"/>
        </w:rPr>
        <w:t>F</w:t>
      </w:r>
      <w:r w:rsidRPr="00171051">
        <w:rPr>
          <w:rFonts w:asciiTheme="majorBidi" w:hAnsiTheme="majorBidi" w:cstheme="majorBidi"/>
        </w:rPr>
        <w:t xml:space="preserve">ocus </w:t>
      </w:r>
      <w:r>
        <w:rPr>
          <w:rFonts w:asciiTheme="majorBidi" w:hAnsiTheme="majorBidi" w:cstheme="majorBidi"/>
        </w:rPr>
        <w:t>G</w:t>
      </w:r>
      <w:r w:rsidRPr="00171051">
        <w:rPr>
          <w:rFonts w:asciiTheme="majorBidi" w:hAnsiTheme="majorBidi" w:cstheme="majorBidi"/>
        </w:rPr>
        <w:t>roup will be two hours and attended by a different stakeholder group. A schedule will be shared with participants as part of the meeting information.</w:t>
      </w:r>
    </w:p>
    <w:p w14:paraId="69EA7E2D" w14:textId="77777777" w:rsidR="00E5162E" w:rsidRPr="00171051" w:rsidRDefault="00E5162E" w:rsidP="00E5162E">
      <w:pPr>
        <w:rPr>
          <w:rFonts w:asciiTheme="majorBidi" w:hAnsiTheme="majorBidi" w:cstheme="majorBidi"/>
        </w:rPr>
      </w:pPr>
      <w:r w:rsidRPr="00171051">
        <w:rPr>
          <w:rFonts w:asciiTheme="majorBidi" w:hAnsiTheme="majorBidi" w:cstheme="majorBidi"/>
        </w:rPr>
        <w:t>The Focus Groups will comprise:</w:t>
      </w:r>
    </w:p>
    <w:p w14:paraId="63F783B9" w14:textId="77777777" w:rsidR="00E5162E" w:rsidRPr="00171051" w:rsidRDefault="00E5162E" w:rsidP="00E5162E">
      <w:pPr>
        <w:pStyle w:val="ListParagraph"/>
        <w:numPr>
          <w:ilvl w:val="0"/>
          <w:numId w:val="25"/>
        </w:numPr>
        <w:spacing w:after="0" w:line="240" w:lineRule="auto"/>
        <w:rPr>
          <w:rFonts w:asciiTheme="majorBidi" w:hAnsiTheme="majorBidi" w:cstheme="majorBidi"/>
        </w:rPr>
      </w:pPr>
      <w:r w:rsidRPr="00171051">
        <w:rPr>
          <w:rFonts w:asciiTheme="majorBidi" w:hAnsiTheme="majorBidi" w:cstheme="majorBidi"/>
        </w:rPr>
        <w:t>ICCM5 Bureau and its invited participants</w:t>
      </w:r>
    </w:p>
    <w:p w14:paraId="29854852" w14:textId="77777777" w:rsidR="00E5162E" w:rsidRPr="00171051" w:rsidRDefault="00E5162E" w:rsidP="00E5162E">
      <w:pPr>
        <w:pStyle w:val="ListParagraph"/>
        <w:numPr>
          <w:ilvl w:val="0"/>
          <w:numId w:val="25"/>
        </w:numPr>
        <w:spacing w:after="0" w:line="240" w:lineRule="auto"/>
        <w:rPr>
          <w:rFonts w:asciiTheme="majorBidi" w:hAnsiTheme="majorBidi" w:cstheme="majorBidi"/>
        </w:rPr>
      </w:pPr>
      <w:r w:rsidRPr="00171051">
        <w:rPr>
          <w:rFonts w:asciiTheme="majorBidi" w:hAnsiTheme="majorBidi" w:cstheme="majorBidi"/>
        </w:rPr>
        <w:t>Regional focal points</w:t>
      </w:r>
    </w:p>
    <w:p w14:paraId="79342BC8" w14:textId="77777777" w:rsidR="00E5162E" w:rsidRPr="00171051" w:rsidRDefault="00E5162E" w:rsidP="00E5162E">
      <w:pPr>
        <w:pStyle w:val="ListParagraph"/>
        <w:numPr>
          <w:ilvl w:val="0"/>
          <w:numId w:val="25"/>
        </w:numPr>
        <w:spacing w:after="0" w:line="240" w:lineRule="auto"/>
        <w:rPr>
          <w:rFonts w:asciiTheme="majorBidi" w:hAnsiTheme="majorBidi" w:cstheme="majorBidi"/>
        </w:rPr>
      </w:pPr>
      <w:r w:rsidRPr="00171051">
        <w:rPr>
          <w:rFonts w:asciiTheme="majorBidi" w:hAnsiTheme="majorBidi" w:cstheme="majorBidi"/>
        </w:rPr>
        <w:t>National focal points (one meeting for each region)</w:t>
      </w:r>
    </w:p>
    <w:p w14:paraId="6180881F" w14:textId="77777777" w:rsidR="00E5162E" w:rsidRPr="00171051" w:rsidRDefault="00E5162E" w:rsidP="00E5162E">
      <w:pPr>
        <w:pStyle w:val="ListParagraph"/>
        <w:numPr>
          <w:ilvl w:val="0"/>
          <w:numId w:val="25"/>
        </w:numPr>
        <w:spacing w:after="0" w:line="240" w:lineRule="auto"/>
        <w:rPr>
          <w:rFonts w:asciiTheme="majorBidi" w:hAnsiTheme="majorBidi" w:cstheme="majorBidi"/>
        </w:rPr>
      </w:pPr>
      <w:r w:rsidRPr="00171051">
        <w:rPr>
          <w:rFonts w:asciiTheme="majorBidi" w:hAnsiTheme="majorBidi" w:cstheme="majorBidi"/>
        </w:rPr>
        <w:t>Civil society representatives</w:t>
      </w:r>
    </w:p>
    <w:p w14:paraId="1AF2FFD4" w14:textId="77777777" w:rsidR="00E5162E" w:rsidRPr="00171051" w:rsidRDefault="00E5162E" w:rsidP="00E5162E">
      <w:pPr>
        <w:pStyle w:val="ListParagraph"/>
        <w:numPr>
          <w:ilvl w:val="0"/>
          <w:numId w:val="25"/>
        </w:numPr>
        <w:spacing w:after="0" w:line="240" w:lineRule="auto"/>
        <w:rPr>
          <w:rFonts w:asciiTheme="majorBidi" w:hAnsiTheme="majorBidi" w:cstheme="majorBidi"/>
        </w:rPr>
      </w:pPr>
      <w:r w:rsidRPr="00171051">
        <w:rPr>
          <w:rFonts w:asciiTheme="majorBidi" w:hAnsiTheme="majorBidi" w:cstheme="majorBidi"/>
        </w:rPr>
        <w:lastRenderedPageBreak/>
        <w:t>Industry representatives</w:t>
      </w:r>
    </w:p>
    <w:p w14:paraId="774D3770" w14:textId="77777777" w:rsidR="00E5162E" w:rsidRPr="00171051" w:rsidRDefault="00E5162E" w:rsidP="00E5162E">
      <w:pPr>
        <w:pStyle w:val="ListParagraph"/>
        <w:numPr>
          <w:ilvl w:val="0"/>
          <w:numId w:val="25"/>
        </w:numPr>
        <w:spacing w:after="0" w:line="240" w:lineRule="auto"/>
        <w:rPr>
          <w:rFonts w:asciiTheme="majorBidi" w:hAnsiTheme="majorBidi" w:cstheme="majorBidi"/>
        </w:rPr>
      </w:pPr>
      <w:r w:rsidRPr="00171051">
        <w:rPr>
          <w:rFonts w:asciiTheme="majorBidi" w:hAnsiTheme="majorBidi" w:cstheme="majorBidi"/>
        </w:rPr>
        <w:t>Trade Union representatives</w:t>
      </w:r>
    </w:p>
    <w:p w14:paraId="6854B234" w14:textId="77777777" w:rsidR="00E5162E" w:rsidRPr="00171051" w:rsidRDefault="00E5162E" w:rsidP="00E5162E">
      <w:pPr>
        <w:pStyle w:val="ListParagraph"/>
        <w:numPr>
          <w:ilvl w:val="0"/>
          <w:numId w:val="25"/>
        </w:numPr>
        <w:spacing w:after="0" w:line="240" w:lineRule="auto"/>
        <w:rPr>
          <w:rFonts w:asciiTheme="majorBidi" w:hAnsiTheme="majorBidi" w:cstheme="majorBidi"/>
        </w:rPr>
      </w:pPr>
      <w:r w:rsidRPr="00171051">
        <w:rPr>
          <w:rFonts w:asciiTheme="majorBidi" w:hAnsiTheme="majorBidi" w:cstheme="majorBidi"/>
        </w:rPr>
        <w:t>Health NGO representatives</w:t>
      </w:r>
    </w:p>
    <w:p w14:paraId="14457219" w14:textId="77777777" w:rsidR="00AD023A" w:rsidRDefault="00AD023A" w:rsidP="00E5162E">
      <w:pPr>
        <w:rPr>
          <w:rFonts w:asciiTheme="majorBidi" w:hAnsiTheme="majorBidi" w:cstheme="majorBidi"/>
        </w:rPr>
      </w:pPr>
    </w:p>
    <w:p w14:paraId="4736F090" w14:textId="77777777" w:rsidR="00E5162E" w:rsidRPr="00171051" w:rsidRDefault="00E5162E" w:rsidP="00E5162E">
      <w:pPr>
        <w:rPr>
          <w:rFonts w:asciiTheme="majorBidi" w:hAnsiTheme="majorBidi" w:cstheme="majorBidi"/>
        </w:rPr>
      </w:pPr>
      <w:r w:rsidRPr="00171051">
        <w:rPr>
          <w:rFonts w:asciiTheme="majorBidi" w:hAnsiTheme="majorBidi" w:cstheme="majorBidi"/>
        </w:rPr>
        <w:t xml:space="preserve">In addition, a </w:t>
      </w:r>
      <w:r>
        <w:rPr>
          <w:rFonts w:asciiTheme="majorBidi" w:hAnsiTheme="majorBidi" w:cstheme="majorBidi"/>
        </w:rPr>
        <w:t>F</w:t>
      </w:r>
      <w:r w:rsidRPr="00171051">
        <w:rPr>
          <w:rFonts w:asciiTheme="majorBidi" w:hAnsiTheme="majorBidi" w:cstheme="majorBidi"/>
        </w:rPr>
        <w:t xml:space="preserve">ocus </w:t>
      </w:r>
      <w:r>
        <w:rPr>
          <w:rFonts w:asciiTheme="majorBidi" w:hAnsiTheme="majorBidi" w:cstheme="majorBidi"/>
        </w:rPr>
        <w:t>G</w:t>
      </w:r>
      <w:r w:rsidRPr="00171051">
        <w:rPr>
          <w:rFonts w:asciiTheme="majorBidi" w:hAnsiTheme="majorBidi" w:cstheme="majorBidi"/>
        </w:rPr>
        <w:t>roup discussion will be held with UN agency representatives via the IOMC on 31 March 2017. A similar range of topics covered during the focus group discussions in Brasilia will be addressed during this meeting.</w:t>
      </w:r>
    </w:p>
    <w:p w14:paraId="21B7A918" w14:textId="77777777" w:rsidR="00E5162E" w:rsidRPr="00171051" w:rsidRDefault="00E5162E" w:rsidP="00E5162E">
      <w:pPr>
        <w:rPr>
          <w:rFonts w:asciiTheme="majorBidi" w:hAnsiTheme="majorBidi" w:cstheme="majorBidi"/>
          <w:u w:val="single"/>
        </w:rPr>
      </w:pPr>
      <w:r w:rsidRPr="00171051">
        <w:rPr>
          <w:rFonts w:asciiTheme="majorBidi" w:hAnsiTheme="majorBidi" w:cstheme="majorBidi"/>
          <w:u w:val="single"/>
        </w:rPr>
        <w:t>Basel, Rotterdam and Stockholm COP in Geneva (24 April-5 May 2017)</w:t>
      </w:r>
    </w:p>
    <w:p w14:paraId="1DDEBCF6" w14:textId="77777777" w:rsidR="00E5162E" w:rsidRPr="00171051" w:rsidRDefault="00E5162E" w:rsidP="00E5162E">
      <w:pPr>
        <w:ind w:right="443"/>
        <w:rPr>
          <w:rFonts w:asciiTheme="majorBidi" w:eastAsia="MS Mincho" w:hAnsiTheme="majorBidi" w:cstheme="majorBidi"/>
          <w:lang w:eastAsia="ja-JP"/>
        </w:rPr>
      </w:pPr>
      <w:r w:rsidRPr="00171051">
        <w:rPr>
          <w:rFonts w:asciiTheme="majorBidi" w:hAnsiTheme="majorBidi" w:cstheme="majorBidi"/>
        </w:rPr>
        <w:t>This meeting will provide the evaluator with the opportunity of discussing the effectiveness of the c</w:t>
      </w:r>
      <w:r w:rsidRPr="00171051">
        <w:rPr>
          <w:rFonts w:asciiTheme="majorBidi" w:eastAsia="MS Mincho" w:hAnsiTheme="majorBidi" w:cstheme="majorBidi"/>
          <w:lang w:eastAsia="ja-JP"/>
        </w:rPr>
        <w:t>oordination and cooperation between the three multilateral environmental agreements and SAICM, and the extent to which this has enhanced the prospects of achieving the 2020 goal.</w:t>
      </w:r>
    </w:p>
    <w:p w14:paraId="0503E889" w14:textId="77777777" w:rsidR="00E5162E" w:rsidRPr="00171051" w:rsidRDefault="00E5162E" w:rsidP="00E5162E">
      <w:pPr>
        <w:rPr>
          <w:rFonts w:asciiTheme="majorBidi" w:hAnsiTheme="majorBidi" w:cstheme="majorBidi"/>
          <w:u w:val="single"/>
        </w:rPr>
      </w:pPr>
      <w:r w:rsidRPr="00171051">
        <w:rPr>
          <w:rFonts w:asciiTheme="majorBidi" w:hAnsiTheme="majorBidi" w:cstheme="majorBidi"/>
          <w:u w:val="single"/>
        </w:rPr>
        <w:t>Other activities</w:t>
      </w:r>
    </w:p>
    <w:p w14:paraId="01FC87F8" w14:textId="77777777" w:rsidR="00E5162E" w:rsidRPr="00171051" w:rsidRDefault="00E5162E" w:rsidP="00E5162E">
      <w:pPr>
        <w:rPr>
          <w:rFonts w:asciiTheme="majorBidi" w:hAnsiTheme="majorBidi" w:cstheme="majorBidi"/>
        </w:rPr>
      </w:pPr>
      <w:r w:rsidRPr="00171051">
        <w:rPr>
          <w:rFonts w:asciiTheme="majorBidi" w:hAnsiTheme="majorBidi" w:cstheme="majorBidi"/>
        </w:rPr>
        <w:t>The evaluator will follow up with stakeholders to further explore the issues raised during the meetings. These follow-up meetings will be conducted over skype and email.</w:t>
      </w:r>
    </w:p>
    <w:p w14:paraId="4FF8F169" w14:textId="77777777" w:rsidR="00E5162E" w:rsidRPr="00171051" w:rsidRDefault="00E5162E" w:rsidP="00E5162E">
      <w:pPr>
        <w:rPr>
          <w:rFonts w:asciiTheme="majorBidi" w:hAnsiTheme="majorBidi" w:cstheme="majorBidi"/>
        </w:rPr>
      </w:pPr>
      <w:r w:rsidRPr="00171051">
        <w:rPr>
          <w:rFonts w:asciiTheme="majorBidi" w:hAnsiTheme="majorBidi" w:cstheme="majorBidi"/>
        </w:rPr>
        <w:t>The evaluator will take the opportunity of attending other stakeholder meetings over the course of 2017 as and when they arise.</w:t>
      </w:r>
    </w:p>
    <w:p w14:paraId="1C522B75" w14:textId="77777777" w:rsidR="00AD023A" w:rsidRDefault="00AD023A" w:rsidP="00E5162E">
      <w:pPr>
        <w:rPr>
          <w:rFonts w:asciiTheme="majorBidi" w:hAnsiTheme="majorBidi" w:cstheme="majorBidi"/>
          <w:b/>
          <w:i/>
        </w:rPr>
      </w:pPr>
    </w:p>
    <w:p w14:paraId="1759D79C" w14:textId="77777777" w:rsidR="00E5162E" w:rsidRPr="00AD023A" w:rsidRDefault="00E5162E" w:rsidP="00AD023A">
      <w:pPr>
        <w:rPr>
          <w:rFonts w:asciiTheme="majorBidi" w:hAnsiTheme="majorBidi" w:cstheme="majorBidi"/>
          <w:b/>
          <w:iCs/>
        </w:rPr>
      </w:pPr>
      <w:r w:rsidRPr="00AD023A">
        <w:rPr>
          <w:rFonts w:asciiTheme="majorBidi" w:hAnsiTheme="majorBidi" w:cstheme="majorBidi"/>
          <w:b/>
          <w:iCs/>
        </w:rPr>
        <w:t xml:space="preserve">Stage 3: Draft Report </w:t>
      </w:r>
      <w:r w:rsidR="00AD023A">
        <w:rPr>
          <w:rFonts w:asciiTheme="majorBidi" w:hAnsiTheme="majorBidi" w:cstheme="majorBidi"/>
          <w:b/>
          <w:iCs/>
        </w:rPr>
        <w:t xml:space="preserve">– </w:t>
      </w:r>
      <w:r w:rsidRPr="00AD023A">
        <w:rPr>
          <w:rFonts w:asciiTheme="majorBidi" w:hAnsiTheme="majorBidi" w:cstheme="majorBidi"/>
          <w:b/>
          <w:iCs/>
        </w:rPr>
        <w:t>30 November 2017</w:t>
      </w:r>
    </w:p>
    <w:p w14:paraId="6CB146AC" w14:textId="77777777" w:rsidR="00E5162E" w:rsidRPr="00171051" w:rsidRDefault="00E5162E" w:rsidP="00E5162E">
      <w:pPr>
        <w:rPr>
          <w:rFonts w:asciiTheme="majorBidi" w:hAnsiTheme="majorBidi" w:cstheme="majorBidi"/>
        </w:rPr>
      </w:pPr>
      <w:r w:rsidRPr="00171051">
        <w:rPr>
          <w:rFonts w:asciiTheme="majorBidi" w:hAnsiTheme="majorBidi" w:cstheme="majorBidi"/>
        </w:rPr>
        <w:t>The draft report will represent a comprehensive and complete assessment of the evaluation.</w:t>
      </w:r>
    </w:p>
    <w:p w14:paraId="67F12DDE" w14:textId="77777777" w:rsidR="00E5162E" w:rsidRPr="00171051" w:rsidRDefault="00E5162E" w:rsidP="00E5162E">
      <w:pPr>
        <w:rPr>
          <w:rFonts w:asciiTheme="majorBidi" w:hAnsiTheme="majorBidi" w:cstheme="majorBidi"/>
        </w:rPr>
      </w:pPr>
      <w:r w:rsidRPr="00171051">
        <w:rPr>
          <w:rFonts w:asciiTheme="majorBidi" w:hAnsiTheme="majorBidi" w:cstheme="majorBidi"/>
        </w:rPr>
        <w:t>The draft report will be made available to the second meeting of the intersessional process considering SAICM and the sound management of chemicals and waste beyond 2020, tentatively scheduled for February 2018.</w:t>
      </w:r>
    </w:p>
    <w:p w14:paraId="2A798161" w14:textId="77777777" w:rsidR="00E5162E" w:rsidRPr="00171051" w:rsidRDefault="00E5162E" w:rsidP="00E5162E">
      <w:pPr>
        <w:rPr>
          <w:rFonts w:asciiTheme="majorBidi" w:hAnsiTheme="majorBidi" w:cstheme="majorBidi"/>
        </w:rPr>
      </w:pPr>
    </w:p>
    <w:p w14:paraId="12653704" w14:textId="77777777" w:rsidR="00E5162E" w:rsidRPr="00EF16F1" w:rsidRDefault="00E5162E" w:rsidP="00EF16F1">
      <w:pPr>
        <w:rPr>
          <w:rFonts w:asciiTheme="majorBidi" w:hAnsiTheme="majorBidi" w:cstheme="majorBidi"/>
          <w:b/>
          <w:iCs/>
        </w:rPr>
      </w:pPr>
      <w:r w:rsidRPr="00AD023A">
        <w:rPr>
          <w:rFonts w:asciiTheme="majorBidi" w:hAnsiTheme="majorBidi" w:cstheme="majorBidi"/>
          <w:b/>
          <w:iCs/>
        </w:rPr>
        <w:t>Stage 4:  Submission of Final Report</w:t>
      </w:r>
      <w:r w:rsidR="00EF16F1">
        <w:rPr>
          <w:rFonts w:asciiTheme="majorBidi" w:hAnsiTheme="majorBidi" w:cstheme="majorBidi"/>
          <w:b/>
          <w:iCs/>
        </w:rPr>
        <w:t xml:space="preserve"> – </w:t>
      </w:r>
      <w:r w:rsidRPr="00EF16F1">
        <w:rPr>
          <w:rFonts w:asciiTheme="majorBidi" w:hAnsiTheme="majorBidi" w:cstheme="majorBidi"/>
          <w:b/>
          <w:iCs/>
        </w:rPr>
        <w:t>30 April 2018</w:t>
      </w:r>
    </w:p>
    <w:p w14:paraId="4FFC4096" w14:textId="77777777" w:rsidR="00E5162E" w:rsidRPr="00171051" w:rsidRDefault="00E5162E" w:rsidP="00E5162E">
      <w:pPr>
        <w:rPr>
          <w:rFonts w:asciiTheme="majorBidi" w:hAnsiTheme="majorBidi" w:cstheme="majorBidi"/>
        </w:rPr>
      </w:pPr>
      <w:r w:rsidRPr="00171051">
        <w:rPr>
          <w:rFonts w:asciiTheme="majorBidi" w:hAnsiTheme="majorBidi" w:cstheme="majorBidi"/>
        </w:rPr>
        <w:t>This stage of the evaluation will involve circulating the draft report to all stakeholders, inviting feedback and comments. An on-line questionnaire will be developed to assist in this feedback process.</w:t>
      </w:r>
    </w:p>
    <w:p w14:paraId="1B4693CF" w14:textId="77777777" w:rsidR="00E5162E" w:rsidRPr="00171051" w:rsidRDefault="00E5162E" w:rsidP="00E5162E">
      <w:pPr>
        <w:rPr>
          <w:rFonts w:asciiTheme="majorBidi" w:hAnsiTheme="majorBidi" w:cstheme="majorBidi"/>
        </w:rPr>
      </w:pPr>
      <w:r w:rsidRPr="00171051">
        <w:rPr>
          <w:rFonts w:asciiTheme="majorBidi" w:hAnsiTheme="majorBidi" w:cstheme="majorBidi"/>
        </w:rPr>
        <w:t>Follow up discussions with individual stakeholder representatives, and where possible, groups of stakeholders will take place. These discussions will be held face-to-face and virtually, over skype and email.</w:t>
      </w:r>
    </w:p>
    <w:p w14:paraId="7DA13374" w14:textId="77777777" w:rsidR="00E5162E" w:rsidRPr="00171051" w:rsidRDefault="00E5162E" w:rsidP="00E5162E">
      <w:pPr>
        <w:rPr>
          <w:rFonts w:asciiTheme="majorBidi" w:hAnsiTheme="majorBidi" w:cstheme="majorBidi"/>
        </w:rPr>
      </w:pPr>
      <w:r w:rsidRPr="00171051">
        <w:rPr>
          <w:rFonts w:asciiTheme="majorBidi" w:hAnsiTheme="majorBidi" w:cstheme="majorBidi"/>
        </w:rPr>
        <w:t xml:space="preserve">The final report will fully reflect the feedback and comments received during this stage. </w:t>
      </w:r>
    </w:p>
    <w:p w14:paraId="2C3FDF61" w14:textId="77777777" w:rsidR="00E5162E" w:rsidRPr="00171051" w:rsidRDefault="00E5162E" w:rsidP="00E5162E">
      <w:pPr>
        <w:rPr>
          <w:rFonts w:asciiTheme="majorBidi" w:hAnsiTheme="majorBidi" w:cstheme="majorBidi"/>
        </w:rPr>
      </w:pPr>
      <w:r w:rsidRPr="00171051">
        <w:rPr>
          <w:rFonts w:asciiTheme="majorBidi" w:hAnsiTheme="majorBidi" w:cstheme="majorBidi"/>
        </w:rPr>
        <w:t>It will be presented to the third meeting of the SAICM Open-ended Working Group, tentatively scheduled for September 2018.  The executive summary will be made available in the 6 official United Nations languages.</w:t>
      </w:r>
    </w:p>
    <w:p w14:paraId="296957FE" w14:textId="77777777" w:rsidR="00E5162E" w:rsidRPr="00171051" w:rsidRDefault="00E5162E" w:rsidP="00E5162E">
      <w:pPr>
        <w:rPr>
          <w:rFonts w:asciiTheme="majorBidi" w:hAnsiTheme="majorBidi" w:cstheme="majorBidi"/>
        </w:rPr>
      </w:pPr>
    </w:p>
    <w:p w14:paraId="49617740" w14:textId="77777777" w:rsidR="00E5162E" w:rsidRPr="00171051" w:rsidRDefault="00E5162E" w:rsidP="00E5162E">
      <w:pPr>
        <w:rPr>
          <w:rFonts w:asciiTheme="majorBidi" w:hAnsiTheme="majorBidi" w:cstheme="majorBidi"/>
        </w:rPr>
      </w:pPr>
      <w:r w:rsidRPr="00171051">
        <w:rPr>
          <w:rFonts w:asciiTheme="majorBidi" w:hAnsiTheme="majorBidi" w:cstheme="majorBidi"/>
        </w:rPr>
        <w:br w:type="page"/>
      </w:r>
    </w:p>
    <w:p w14:paraId="3B28B322" w14:textId="77777777" w:rsidR="00E5162E" w:rsidRPr="00171051" w:rsidRDefault="00E5162E" w:rsidP="00E5162E">
      <w:pPr>
        <w:rPr>
          <w:rFonts w:asciiTheme="majorBidi" w:hAnsiTheme="majorBidi" w:cstheme="majorBidi"/>
          <w:b/>
          <w:bCs/>
        </w:rPr>
      </w:pPr>
      <w:r w:rsidRPr="00171051">
        <w:rPr>
          <w:rFonts w:asciiTheme="majorBidi" w:hAnsiTheme="majorBidi" w:cstheme="majorBidi"/>
          <w:b/>
          <w:bCs/>
        </w:rPr>
        <w:lastRenderedPageBreak/>
        <w:t>ANNEX</w:t>
      </w:r>
    </w:p>
    <w:p w14:paraId="236CF3DF" w14:textId="77777777" w:rsidR="00E5162E" w:rsidRPr="00171051" w:rsidRDefault="00E5162E" w:rsidP="00E5162E">
      <w:pPr>
        <w:pStyle w:val="ZZAnxtitle"/>
        <w:spacing w:before="120"/>
        <w:rPr>
          <w:rFonts w:asciiTheme="majorBidi" w:hAnsiTheme="majorBidi" w:cstheme="majorBidi"/>
          <w:sz w:val="22"/>
          <w:szCs w:val="22"/>
          <w:lang w:eastAsia="ja-JP"/>
        </w:rPr>
      </w:pPr>
      <w:r w:rsidRPr="00171051">
        <w:rPr>
          <w:rFonts w:asciiTheme="majorBidi" w:hAnsiTheme="majorBidi" w:cstheme="majorBidi"/>
          <w:sz w:val="22"/>
          <w:szCs w:val="22"/>
          <w:lang w:eastAsia="ja-JP"/>
        </w:rPr>
        <w:t>Annex to ICCM Resolution IV/4: The Strategic Approach and sound management of chemicals and waste beyond 2020 – Terms of reference for the evaluation of the Strategic Approach to International Chemicals Management</w:t>
      </w:r>
    </w:p>
    <w:p w14:paraId="25D487A8" w14:textId="77777777" w:rsidR="00E5162E" w:rsidRPr="00171051" w:rsidRDefault="00E5162E" w:rsidP="00E5162E">
      <w:pPr>
        <w:keepNext/>
        <w:keepLines/>
        <w:tabs>
          <w:tab w:val="right" w:pos="851"/>
          <w:tab w:val="left" w:pos="4082"/>
        </w:tabs>
        <w:suppressAutoHyphens/>
        <w:spacing w:before="240" w:after="120"/>
        <w:ind w:left="1247" w:right="284" w:hanging="1247"/>
        <w:rPr>
          <w:rFonts w:asciiTheme="majorBidi" w:hAnsiTheme="majorBidi" w:cstheme="majorBidi"/>
          <w:b/>
          <w:lang w:eastAsia="ja-JP"/>
        </w:rPr>
      </w:pPr>
      <w:r w:rsidRPr="00171051">
        <w:rPr>
          <w:rFonts w:asciiTheme="majorBidi" w:hAnsiTheme="majorBidi" w:cstheme="majorBidi"/>
          <w:b/>
          <w:lang w:eastAsia="ja-JP"/>
        </w:rPr>
        <w:tab/>
        <w:t xml:space="preserve">I. </w:t>
      </w:r>
      <w:r w:rsidRPr="00171051">
        <w:rPr>
          <w:rFonts w:asciiTheme="majorBidi" w:hAnsiTheme="majorBidi" w:cstheme="majorBidi"/>
          <w:b/>
          <w:lang w:eastAsia="ja-JP"/>
        </w:rPr>
        <w:tab/>
        <w:t>Objective</w:t>
      </w:r>
    </w:p>
    <w:p w14:paraId="6565031C" w14:textId="77777777" w:rsidR="00E5162E" w:rsidRPr="00171051" w:rsidRDefault="00E5162E" w:rsidP="00E5162E">
      <w:pPr>
        <w:tabs>
          <w:tab w:val="left" w:pos="4082"/>
        </w:tabs>
        <w:spacing w:after="120"/>
        <w:ind w:left="1247"/>
        <w:rPr>
          <w:rFonts w:asciiTheme="majorBidi" w:hAnsiTheme="majorBidi" w:cstheme="majorBidi"/>
          <w:lang w:eastAsia="ja-JP"/>
        </w:rPr>
      </w:pPr>
      <w:r w:rsidRPr="00171051">
        <w:rPr>
          <w:rFonts w:asciiTheme="majorBidi" w:hAnsiTheme="majorBidi" w:cstheme="majorBidi"/>
          <w:lang w:eastAsia="ja-JP"/>
        </w:rPr>
        <w:t xml:space="preserve">1.  The present document outlines the terms of reference for the independent evaluation of the Strategic Approach to International Chemicals Management called for by the International Conference on Chemicals Management in its resolution IV/4. </w:t>
      </w:r>
    </w:p>
    <w:p w14:paraId="6F352328" w14:textId="77777777" w:rsidR="00E5162E" w:rsidRPr="00171051" w:rsidRDefault="00E5162E" w:rsidP="00E5162E">
      <w:pPr>
        <w:tabs>
          <w:tab w:val="left" w:pos="4082"/>
        </w:tabs>
        <w:spacing w:after="120"/>
        <w:ind w:left="1247"/>
        <w:rPr>
          <w:rFonts w:asciiTheme="majorBidi" w:hAnsiTheme="majorBidi" w:cstheme="majorBidi"/>
          <w:lang w:eastAsia="ja-JP"/>
        </w:rPr>
      </w:pPr>
      <w:r w:rsidRPr="00171051">
        <w:rPr>
          <w:rFonts w:asciiTheme="majorBidi" w:hAnsiTheme="majorBidi" w:cstheme="majorBidi"/>
          <w:lang w:eastAsia="ja-JP"/>
        </w:rPr>
        <w:t xml:space="preserve">2.  The aim of the evaluation is to provide information to enable the intersessional process referred to in paragraph 2 of resolution IV/4 to develop recommendations and to enable the International Conference on Chemicals Management at its fifth session to take an informed decision on future arrangements for the Strategic Approach and the sound management of chemicals and waste beyond 2020. </w:t>
      </w:r>
    </w:p>
    <w:p w14:paraId="6492BB80" w14:textId="77777777" w:rsidR="00E5162E" w:rsidRPr="00171051" w:rsidRDefault="00E5162E" w:rsidP="00E5162E">
      <w:pPr>
        <w:keepNext/>
        <w:keepLines/>
        <w:tabs>
          <w:tab w:val="right" w:pos="851"/>
          <w:tab w:val="left" w:pos="4082"/>
        </w:tabs>
        <w:suppressAutoHyphens/>
        <w:spacing w:before="240" w:after="120"/>
        <w:ind w:left="1247" w:right="284" w:hanging="1247"/>
        <w:rPr>
          <w:rFonts w:asciiTheme="majorBidi" w:hAnsiTheme="majorBidi" w:cstheme="majorBidi"/>
          <w:b/>
          <w:lang w:eastAsia="ja-JP"/>
        </w:rPr>
      </w:pPr>
      <w:r w:rsidRPr="00171051">
        <w:rPr>
          <w:rFonts w:asciiTheme="majorBidi" w:hAnsiTheme="majorBidi" w:cstheme="majorBidi"/>
          <w:b/>
          <w:lang w:eastAsia="ja-JP"/>
        </w:rPr>
        <w:tab/>
        <w:t xml:space="preserve">II. </w:t>
      </w:r>
      <w:r w:rsidRPr="00171051">
        <w:rPr>
          <w:rFonts w:asciiTheme="majorBidi" w:hAnsiTheme="majorBidi" w:cstheme="majorBidi"/>
          <w:b/>
          <w:lang w:eastAsia="ja-JP"/>
        </w:rPr>
        <w:tab/>
        <w:t>Methodology</w:t>
      </w:r>
    </w:p>
    <w:p w14:paraId="6C301502" w14:textId="77777777" w:rsidR="00E5162E" w:rsidRPr="00171051" w:rsidRDefault="00E5162E" w:rsidP="00E5162E">
      <w:pPr>
        <w:tabs>
          <w:tab w:val="left" w:pos="4082"/>
        </w:tabs>
        <w:spacing w:after="120"/>
        <w:ind w:left="1247"/>
        <w:rPr>
          <w:rFonts w:asciiTheme="majorBidi" w:hAnsiTheme="majorBidi" w:cstheme="majorBidi"/>
          <w:lang w:eastAsia="ja-JP"/>
        </w:rPr>
      </w:pPr>
      <w:r w:rsidRPr="00171051">
        <w:rPr>
          <w:rFonts w:asciiTheme="majorBidi" w:hAnsiTheme="majorBidi" w:cstheme="majorBidi"/>
          <w:lang w:eastAsia="ja-JP"/>
        </w:rPr>
        <w:t xml:space="preserve">3.  The secretariat is requested to engage an independent evaluator to produce an evaluation consistent with the present terms of reference. </w:t>
      </w:r>
    </w:p>
    <w:p w14:paraId="0BA2E311" w14:textId="77777777" w:rsidR="00E5162E" w:rsidRPr="00171051" w:rsidRDefault="00E5162E" w:rsidP="00E5162E">
      <w:pPr>
        <w:tabs>
          <w:tab w:val="left" w:pos="4082"/>
        </w:tabs>
        <w:spacing w:after="120"/>
        <w:ind w:left="1247"/>
        <w:rPr>
          <w:rFonts w:asciiTheme="majorBidi" w:hAnsiTheme="majorBidi" w:cstheme="majorBidi"/>
          <w:lang w:eastAsia="ja-JP"/>
        </w:rPr>
      </w:pPr>
      <w:r w:rsidRPr="00171051">
        <w:rPr>
          <w:rFonts w:asciiTheme="majorBidi" w:hAnsiTheme="majorBidi" w:cstheme="majorBidi"/>
          <w:lang w:eastAsia="ja-JP"/>
        </w:rPr>
        <w:t>4.  The evaluation is to cover the period from the adoption of the Strategic Approach in 2006 to 2015. It may also cover any insights gained in the period from 2015 to the finalization of the evaluation.</w:t>
      </w:r>
    </w:p>
    <w:p w14:paraId="02EDC80A" w14:textId="77777777" w:rsidR="00E5162E" w:rsidRPr="00171051" w:rsidRDefault="00E5162E" w:rsidP="00E5162E">
      <w:pPr>
        <w:tabs>
          <w:tab w:val="left" w:pos="4082"/>
        </w:tabs>
        <w:spacing w:after="120"/>
        <w:ind w:left="1247"/>
        <w:rPr>
          <w:rFonts w:asciiTheme="majorBidi" w:hAnsiTheme="majorBidi" w:cstheme="majorBidi"/>
          <w:lang w:eastAsia="ja-JP"/>
        </w:rPr>
      </w:pPr>
      <w:r w:rsidRPr="00171051">
        <w:rPr>
          <w:rFonts w:asciiTheme="majorBidi" w:hAnsiTheme="majorBidi" w:cstheme="majorBidi"/>
          <w:lang w:eastAsia="ja-JP"/>
        </w:rPr>
        <w:t xml:space="preserve">5.  The evaluation should take into account, among other things, the available evaluation of progress in implementing the Strategic Approach, the evaluation of the Quick Start Programme, the relevant reports and resolutions from </w:t>
      </w:r>
      <w:r w:rsidRPr="00171051">
        <w:rPr>
          <w:rFonts w:asciiTheme="majorBidi" w:eastAsia="Cambria" w:hAnsiTheme="majorBidi" w:cstheme="majorBidi"/>
          <w:lang w:eastAsia="ja-JP"/>
        </w:rPr>
        <w:t>the International Conference on Chemicals Management</w:t>
      </w:r>
      <w:r w:rsidRPr="00171051">
        <w:rPr>
          <w:rFonts w:asciiTheme="majorBidi" w:hAnsiTheme="majorBidi" w:cstheme="majorBidi"/>
          <w:lang w:eastAsia="ja-JP"/>
        </w:rPr>
        <w:t xml:space="preserve">, the </w:t>
      </w:r>
      <w:r w:rsidRPr="00171051">
        <w:rPr>
          <w:rFonts w:asciiTheme="majorBidi" w:eastAsia="Cambria" w:hAnsiTheme="majorBidi" w:cstheme="majorBidi"/>
          <w:lang w:eastAsia="ja-JP"/>
        </w:rPr>
        <w:t>Open-ended Working Group</w:t>
      </w:r>
      <w:r w:rsidRPr="00171051">
        <w:rPr>
          <w:rFonts w:asciiTheme="majorBidi" w:hAnsiTheme="majorBidi" w:cstheme="majorBidi"/>
          <w:lang w:eastAsia="ja-JP"/>
        </w:rPr>
        <w:t xml:space="preserve"> and regional meetings, the overall orientation and guidance, and national implementation plans of the Strategic Approach. The evaluator may also collect information from stakeholders on their experiences implementing the Strategic Approach, and may use various methods of qualitative and quantitative information collection, including questionnaires and interviews, taking into account regional, gender and stakeholder balance. </w:t>
      </w:r>
    </w:p>
    <w:p w14:paraId="771FD855" w14:textId="77777777" w:rsidR="00E5162E" w:rsidRPr="00171051" w:rsidRDefault="00E5162E" w:rsidP="00E5162E">
      <w:pPr>
        <w:keepNext/>
        <w:keepLines/>
        <w:tabs>
          <w:tab w:val="right" w:pos="851"/>
          <w:tab w:val="left" w:pos="4082"/>
        </w:tabs>
        <w:suppressAutoHyphens/>
        <w:spacing w:before="240" w:after="120"/>
        <w:ind w:left="1247" w:right="284" w:hanging="1247"/>
        <w:rPr>
          <w:rFonts w:asciiTheme="majorBidi" w:hAnsiTheme="majorBidi" w:cstheme="majorBidi"/>
          <w:b/>
          <w:lang w:eastAsia="ja-JP"/>
        </w:rPr>
      </w:pPr>
      <w:r w:rsidRPr="00171051">
        <w:rPr>
          <w:rFonts w:asciiTheme="majorBidi" w:hAnsiTheme="majorBidi" w:cstheme="majorBidi"/>
          <w:b/>
          <w:lang w:eastAsia="ja-JP"/>
        </w:rPr>
        <w:tab/>
        <w:t xml:space="preserve">III. </w:t>
      </w:r>
      <w:r w:rsidRPr="00171051">
        <w:rPr>
          <w:rFonts w:asciiTheme="majorBidi" w:hAnsiTheme="majorBidi" w:cstheme="majorBidi"/>
          <w:b/>
          <w:lang w:eastAsia="ja-JP"/>
        </w:rPr>
        <w:tab/>
        <w:t xml:space="preserve">Report on the evaluation </w:t>
      </w:r>
    </w:p>
    <w:p w14:paraId="1BBB37A2" w14:textId="77777777" w:rsidR="00E5162E" w:rsidRPr="00171051" w:rsidRDefault="00E5162E" w:rsidP="00E5162E">
      <w:pPr>
        <w:tabs>
          <w:tab w:val="left" w:pos="4082"/>
        </w:tabs>
        <w:spacing w:after="120"/>
        <w:ind w:left="1247"/>
        <w:rPr>
          <w:rFonts w:asciiTheme="majorBidi" w:hAnsiTheme="majorBidi" w:cstheme="majorBidi"/>
          <w:lang w:eastAsia="ja-JP"/>
        </w:rPr>
      </w:pPr>
      <w:r w:rsidRPr="00171051">
        <w:rPr>
          <w:rFonts w:asciiTheme="majorBidi" w:hAnsiTheme="majorBidi" w:cstheme="majorBidi"/>
          <w:lang w:eastAsia="ja-JP"/>
        </w:rPr>
        <w:t xml:space="preserve">6.  An interim report on the evaluation will be made available to all stakeholders at least one month ahead of the first meeting of the intersessional process. A draft of the final report will be made available to all stakeholders at least one month ahead of the second meeting of the intersessional process. The final report, taking into account, as appropriate, the additional comments on the draft final report from stakeholders, will be made available to all stakeholders at least two months before the meeting of the Open-ended Working Group that will precede </w:t>
      </w:r>
      <w:r w:rsidRPr="00171051">
        <w:rPr>
          <w:rFonts w:asciiTheme="majorBidi" w:eastAsia="Cambria" w:hAnsiTheme="majorBidi" w:cstheme="majorBidi"/>
          <w:lang w:eastAsia="ja-JP"/>
        </w:rPr>
        <w:t>the fifth session of the International Conference on Chemicals Management</w:t>
      </w:r>
      <w:r w:rsidRPr="00171051">
        <w:rPr>
          <w:rFonts w:asciiTheme="majorBidi" w:hAnsiTheme="majorBidi" w:cstheme="majorBidi"/>
          <w:lang w:eastAsia="ja-JP"/>
        </w:rPr>
        <w:t xml:space="preserve">. </w:t>
      </w:r>
    </w:p>
    <w:p w14:paraId="78520AE7" w14:textId="77777777" w:rsidR="00E5162E" w:rsidRPr="00171051" w:rsidRDefault="00E5162E" w:rsidP="00E5162E">
      <w:pPr>
        <w:tabs>
          <w:tab w:val="left" w:pos="4082"/>
        </w:tabs>
        <w:spacing w:after="120"/>
        <w:ind w:left="1247"/>
        <w:rPr>
          <w:rFonts w:asciiTheme="majorBidi" w:hAnsiTheme="majorBidi" w:cstheme="majorBidi"/>
          <w:lang w:eastAsia="ja-JP"/>
        </w:rPr>
      </w:pPr>
      <w:r w:rsidRPr="00171051">
        <w:rPr>
          <w:rFonts w:asciiTheme="majorBidi" w:hAnsiTheme="majorBidi" w:cstheme="majorBidi"/>
          <w:lang w:eastAsia="ja-JP"/>
        </w:rPr>
        <w:t>7.   The reports will contain an introduction, an executive summary and a brief history of the Strategic Approach, and will present information in support of conclusions and, where appropriate, lessons drawn in respect of the implementation of the Strategic Approach, including, in particular:</w:t>
      </w:r>
    </w:p>
    <w:p w14:paraId="7E7943F0" w14:textId="77777777" w:rsidR="00E5162E" w:rsidRPr="00171051" w:rsidRDefault="00E5162E" w:rsidP="00E5162E">
      <w:pPr>
        <w:tabs>
          <w:tab w:val="left" w:pos="624"/>
        </w:tabs>
        <w:spacing w:after="120"/>
        <w:ind w:left="1247" w:firstLine="624"/>
        <w:rPr>
          <w:rFonts w:asciiTheme="majorBidi" w:hAnsiTheme="majorBidi" w:cstheme="majorBidi"/>
          <w:lang w:eastAsia="ja-JP"/>
        </w:rPr>
      </w:pPr>
      <w:r w:rsidRPr="00171051">
        <w:rPr>
          <w:rFonts w:asciiTheme="majorBidi" w:hAnsiTheme="majorBidi" w:cstheme="majorBidi"/>
          <w:lang w:eastAsia="ja-JP"/>
        </w:rPr>
        <w:tab/>
        <w:t>(a)</w:t>
      </w:r>
      <w:r w:rsidRPr="00171051">
        <w:rPr>
          <w:rFonts w:asciiTheme="majorBidi" w:hAnsiTheme="majorBidi" w:cstheme="majorBidi"/>
          <w:lang w:eastAsia="ja-JP"/>
        </w:rPr>
        <w:tab/>
        <w:t>Impact of the Strategic Approach;</w:t>
      </w:r>
    </w:p>
    <w:p w14:paraId="0D30507E" w14:textId="77777777" w:rsidR="00E5162E" w:rsidRPr="00171051" w:rsidRDefault="00E5162E" w:rsidP="00E5162E">
      <w:pPr>
        <w:tabs>
          <w:tab w:val="left" w:pos="624"/>
        </w:tabs>
        <w:spacing w:after="120"/>
        <w:ind w:left="1247" w:firstLine="624"/>
        <w:rPr>
          <w:rFonts w:asciiTheme="majorBidi" w:hAnsiTheme="majorBidi" w:cstheme="majorBidi"/>
          <w:lang w:eastAsia="ja-JP"/>
        </w:rPr>
      </w:pPr>
      <w:r w:rsidRPr="00171051">
        <w:rPr>
          <w:rFonts w:asciiTheme="majorBidi" w:hAnsiTheme="majorBidi" w:cstheme="majorBidi"/>
          <w:lang w:eastAsia="ja-JP"/>
        </w:rPr>
        <w:lastRenderedPageBreak/>
        <w:tab/>
        <w:t>(b)</w:t>
      </w:r>
      <w:r w:rsidRPr="00171051">
        <w:rPr>
          <w:rFonts w:asciiTheme="majorBidi" w:hAnsiTheme="majorBidi" w:cstheme="majorBidi"/>
          <w:lang w:eastAsia="ja-JP"/>
        </w:rPr>
        <w:tab/>
        <w:t>Strengths, weaknesses and gaps in implementing the Strategic Approach, taking into account the eleven basic elements identified in the overall orientation and guidance ;</w:t>
      </w:r>
    </w:p>
    <w:p w14:paraId="118CA075" w14:textId="77777777" w:rsidR="00E5162E" w:rsidRPr="00171051" w:rsidRDefault="00E5162E" w:rsidP="00E5162E">
      <w:pPr>
        <w:tabs>
          <w:tab w:val="left" w:pos="624"/>
        </w:tabs>
        <w:spacing w:after="120"/>
        <w:ind w:left="1247" w:firstLine="624"/>
        <w:rPr>
          <w:rFonts w:asciiTheme="majorBidi" w:hAnsiTheme="majorBidi" w:cstheme="majorBidi"/>
          <w:lang w:eastAsia="ja-JP"/>
        </w:rPr>
      </w:pPr>
      <w:r w:rsidRPr="00171051">
        <w:rPr>
          <w:rFonts w:asciiTheme="majorBidi" w:hAnsiTheme="majorBidi" w:cstheme="majorBidi"/>
          <w:lang w:eastAsia="ja-JP"/>
        </w:rPr>
        <w:tab/>
        <w:t>(c)</w:t>
      </w:r>
      <w:r w:rsidRPr="00171051">
        <w:rPr>
          <w:rFonts w:asciiTheme="majorBidi" w:hAnsiTheme="majorBidi" w:cstheme="majorBidi"/>
          <w:lang w:eastAsia="ja-JP"/>
        </w:rPr>
        <w:tab/>
        <w:t>Progress towards targets;</w:t>
      </w:r>
    </w:p>
    <w:p w14:paraId="5AF46233" w14:textId="77777777" w:rsidR="00E5162E" w:rsidRPr="00171051" w:rsidRDefault="00E5162E" w:rsidP="00E5162E">
      <w:pPr>
        <w:tabs>
          <w:tab w:val="left" w:pos="624"/>
        </w:tabs>
        <w:spacing w:after="120"/>
        <w:ind w:left="1247" w:firstLine="624"/>
        <w:rPr>
          <w:rFonts w:asciiTheme="majorBidi" w:hAnsiTheme="majorBidi" w:cstheme="majorBidi"/>
          <w:lang w:eastAsia="ja-JP"/>
        </w:rPr>
      </w:pPr>
      <w:r w:rsidRPr="00171051">
        <w:rPr>
          <w:rFonts w:asciiTheme="majorBidi" w:hAnsiTheme="majorBidi" w:cstheme="majorBidi"/>
          <w:lang w:eastAsia="ja-JP"/>
        </w:rPr>
        <w:tab/>
        <w:t>(d)</w:t>
      </w:r>
      <w:r w:rsidRPr="00171051">
        <w:rPr>
          <w:rFonts w:asciiTheme="majorBidi" w:hAnsiTheme="majorBidi" w:cstheme="majorBidi"/>
          <w:lang w:eastAsia="ja-JP"/>
        </w:rPr>
        <w:tab/>
        <w:t>Institutional arrangements within the voluntary multisectoral and multi-stakeholder approach of the Strategic Approach.</w:t>
      </w:r>
    </w:p>
    <w:p w14:paraId="6C68131E" w14:textId="77777777" w:rsidR="00E5162E" w:rsidRPr="00171051" w:rsidRDefault="00E5162E" w:rsidP="00E5162E">
      <w:pPr>
        <w:tabs>
          <w:tab w:val="left" w:pos="4082"/>
        </w:tabs>
        <w:spacing w:after="120"/>
        <w:ind w:left="1248"/>
        <w:rPr>
          <w:rFonts w:asciiTheme="majorBidi" w:hAnsiTheme="majorBidi" w:cstheme="majorBidi"/>
          <w:lang w:eastAsia="ja-JP"/>
        </w:rPr>
      </w:pPr>
      <w:r w:rsidRPr="00171051">
        <w:rPr>
          <w:rFonts w:asciiTheme="majorBidi" w:hAnsiTheme="majorBidi" w:cstheme="majorBidi"/>
          <w:lang w:eastAsia="ja-JP"/>
        </w:rPr>
        <w:t>8.   The independent evaluator will present information, as appropriate, on the following elements in the report, on the understanding that the information provided is intended to inform rather than prejudge intersessional discussions on the subject:</w:t>
      </w:r>
    </w:p>
    <w:p w14:paraId="6FB268DF" w14:textId="77777777" w:rsidR="00E5162E" w:rsidRPr="00171051" w:rsidRDefault="00E5162E" w:rsidP="00E5162E">
      <w:pPr>
        <w:tabs>
          <w:tab w:val="left" w:pos="624"/>
        </w:tabs>
        <w:spacing w:after="120"/>
        <w:ind w:left="1247" w:firstLine="624"/>
        <w:rPr>
          <w:rFonts w:asciiTheme="majorBidi" w:hAnsiTheme="majorBidi" w:cstheme="majorBidi"/>
          <w:lang w:eastAsia="ja-JP"/>
        </w:rPr>
      </w:pPr>
      <w:r w:rsidRPr="00171051">
        <w:rPr>
          <w:rFonts w:asciiTheme="majorBidi" w:hAnsiTheme="majorBidi" w:cstheme="majorBidi"/>
          <w:lang w:eastAsia="ja-JP"/>
        </w:rPr>
        <w:tab/>
        <w:t>(a)</w:t>
      </w:r>
      <w:r w:rsidRPr="00171051">
        <w:rPr>
          <w:rFonts w:asciiTheme="majorBidi" w:hAnsiTheme="majorBidi" w:cstheme="majorBidi"/>
          <w:lang w:eastAsia="ja-JP"/>
        </w:rPr>
        <w:tab/>
        <w:t>Objectives for the sound management of chemicals and waste beyond 2020;</w:t>
      </w:r>
    </w:p>
    <w:p w14:paraId="2A6E2055" w14:textId="77777777" w:rsidR="00E5162E" w:rsidRPr="00171051" w:rsidRDefault="00E5162E" w:rsidP="00E5162E">
      <w:pPr>
        <w:tabs>
          <w:tab w:val="left" w:pos="624"/>
        </w:tabs>
        <w:spacing w:after="120"/>
        <w:ind w:left="1247" w:firstLine="624"/>
        <w:rPr>
          <w:rFonts w:asciiTheme="majorBidi" w:hAnsiTheme="majorBidi" w:cstheme="majorBidi"/>
          <w:lang w:eastAsia="ja-JP"/>
        </w:rPr>
      </w:pPr>
      <w:r w:rsidRPr="00171051">
        <w:rPr>
          <w:rFonts w:asciiTheme="majorBidi" w:hAnsiTheme="majorBidi" w:cstheme="majorBidi"/>
          <w:lang w:eastAsia="ja-JP"/>
        </w:rPr>
        <w:t xml:space="preserve">  </w:t>
      </w:r>
      <w:r w:rsidRPr="00171051">
        <w:rPr>
          <w:rFonts w:asciiTheme="majorBidi" w:hAnsiTheme="majorBidi" w:cstheme="majorBidi"/>
          <w:lang w:eastAsia="ja-JP"/>
        </w:rPr>
        <w:tab/>
        <w:t>(b)</w:t>
      </w:r>
      <w:r w:rsidRPr="00171051">
        <w:rPr>
          <w:rFonts w:asciiTheme="majorBidi" w:hAnsiTheme="majorBidi" w:cstheme="majorBidi"/>
          <w:lang w:eastAsia="ja-JP"/>
        </w:rPr>
        <w:tab/>
        <w:t>Identifying and taking action on new or emerging issues;</w:t>
      </w:r>
    </w:p>
    <w:p w14:paraId="5DDB3751" w14:textId="77777777" w:rsidR="00E5162E" w:rsidRPr="00171051" w:rsidRDefault="00E5162E" w:rsidP="00E5162E">
      <w:pPr>
        <w:tabs>
          <w:tab w:val="left" w:pos="624"/>
        </w:tabs>
        <w:spacing w:after="120"/>
        <w:ind w:left="1247" w:firstLine="624"/>
        <w:rPr>
          <w:rFonts w:asciiTheme="majorBidi" w:hAnsiTheme="majorBidi" w:cstheme="majorBidi"/>
          <w:lang w:eastAsia="ja-JP"/>
        </w:rPr>
      </w:pPr>
      <w:r w:rsidRPr="00171051">
        <w:rPr>
          <w:rFonts w:asciiTheme="majorBidi" w:hAnsiTheme="majorBidi" w:cstheme="majorBidi"/>
          <w:lang w:eastAsia="ja-JP"/>
        </w:rPr>
        <w:tab/>
        <w:t>(c)</w:t>
      </w:r>
      <w:r w:rsidRPr="00171051">
        <w:rPr>
          <w:rFonts w:asciiTheme="majorBidi" w:hAnsiTheme="majorBidi" w:cstheme="majorBidi"/>
          <w:lang w:eastAsia="ja-JP"/>
        </w:rPr>
        <w:tab/>
        <w:t>Coordination and cooperation with relevant multilateral environmental agreements and organizations of the Inter-Organization Programme for the Sound Management of Chemicals;</w:t>
      </w:r>
    </w:p>
    <w:p w14:paraId="3DE6017B" w14:textId="77777777" w:rsidR="00E5162E" w:rsidRPr="00171051" w:rsidRDefault="00E5162E" w:rsidP="00E5162E">
      <w:pPr>
        <w:tabs>
          <w:tab w:val="left" w:pos="624"/>
        </w:tabs>
        <w:spacing w:after="120"/>
        <w:ind w:left="1247" w:firstLine="624"/>
        <w:rPr>
          <w:rFonts w:asciiTheme="majorBidi" w:hAnsiTheme="majorBidi" w:cstheme="majorBidi"/>
          <w:lang w:eastAsia="ja-JP"/>
        </w:rPr>
      </w:pPr>
      <w:r w:rsidRPr="00171051">
        <w:rPr>
          <w:rFonts w:asciiTheme="majorBidi" w:hAnsiTheme="majorBidi" w:cstheme="majorBidi"/>
          <w:lang w:eastAsia="ja-JP"/>
        </w:rPr>
        <w:tab/>
        <w:t>(d)</w:t>
      </w:r>
      <w:r w:rsidRPr="00171051">
        <w:rPr>
          <w:rFonts w:asciiTheme="majorBidi" w:hAnsiTheme="majorBidi" w:cstheme="majorBidi"/>
          <w:lang w:eastAsia="ja-JP"/>
        </w:rPr>
        <w:tab/>
        <w:t>Relevance of impacts to the 2030 Agenda for Sustainable Development;</w:t>
      </w:r>
    </w:p>
    <w:p w14:paraId="3BD3AA78" w14:textId="77777777" w:rsidR="00E5162E" w:rsidRPr="00171051" w:rsidRDefault="00E5162E" w:rsidP="00E5162E">
      <w:pPr>
        <w:tabs>
          <w:tab w:val="left" w:pos="624"/>
        </w:tabs>
        <w:spacing w:after="120"/>
        <w:ind w:left="1247" w:firstLine="624"/>
        <w:rPr>
          <w:rFonts w:asciiTheme="majorBidi" w:hAnsiTheme="majorBidi" w:cstheme="majorBidi"/>
          <w:lang w:eastAsia="ja-JP"/>
        </w:rPr>
      </w:pPr>
      <w:r w:rsidRPr="00171051">
        <w:rPr>
          <w:rFonts w:asciiTheme="majorBidi" w:hAnsiTheme="majorBidi" w:cstheme="majorBidi"/>
          <w:lang w:eastAsia="ja-JP"/>
        </w:rPr>
        <w:tab/>
        <w:t>(e)</w:t>
      </w:r>
      <w:r w:rsidRPr="00171051">
        <w:rPr>
          <w:rFonts w:asciiTheme="majorBidi" w:hAnsiTheme="majorBidi" w:cstheme="majorBidi"/>
          <w:lang w:eastAsia="ja-JP"/>
        </w:rPr>
        <w:tab/>
        <w:t>Maintenance and development of indicators of progress;</w:t>
      </w:r>
    </w:p>
    <w:p w14:paraId="423F8ED1" w14:textId="77777777" w:rsidR="00E5162E" w:rsidRPr="00171051" w:rsidRDefault="00E5162E" w:rsidP="00E5162E">
      <w:pPr>
        <w:tabs>
          <w:tab w:val="left" w:pos="624"/>
        </w:tabs>
        <w:spacing w:after="120"/>
        <w:ind w:left="1247" w:firstLine="624"/>
        <w:rPr>
          <w:rFonts w:asciiTheme="majorBidi" w:hAnsiTheme="majorBidi" w:cstheme="majorBidi"/>
          <w:lang w:eastAsia="ja-JP"/>
        </w:rPr>
      </w:pPr>
      <w:r w:rsidRPr="00171051">
        <w:rPr>
          <w:rFonts w:asciiTheme="majorBidi" w:hAnsiTheme="majorBidi" w:cstheme="majorBidi"/>
          <w:lang w:eastAsia="ja-JP"/>
        </w:rPr>
        <w:tab/>
        <w:t>(f)</w:t>
      </w:r>
      <w:r w:rsidRPr="00171051">
        <w:rPr>
          <w:rFonts w:asciiTheme="majorBidi" w:hAnsiTheme="majorBidi" w:cstheme="majorBidi"/>
          <w:lang w:eastAsia="ja-JP"/>
        </w:rPr>
        <w:tab/>
        <w:t>Identifying and taking action on regional and subregional needs for advancing sound management of chemicals and waste.</w:t>
      </w:r>
    </w:p>
    <w:p w14:paraId="1B56BDDF" w14:textId="77777777" w:rsidR="00E5162E" w:rsidRPr="00171051" w:rsidRDefault="00E5162E" w:rsidP="00E5162E">
      <w:pPr>
        <w:tabs>
          <w:tab w:val="left" w:pos="4082"/>
        </w:tabs>
        <w:spacing w:after="120"/>
        <w:ind w:left="1247"/>
        <w:rPr>
          <w:rFonts w:asciiTheme="majorBidi" w:hAnsiTheme="majorBidi" w:cstheme="majorBidi"/>
          <w:lang w:eastAsia="ja-JP"/>
        </w:rPr>
      </w:pPr>
      <w:r w:rsidRPr="00171051">
        <w:rPr>
          <w:rFonts w:asciiTheme="majorBidi" w:hAnsiTheme="majorBidi" w:cstheme="majorBidi"/>
          <w:lang w:eastAsia="ja-JP"/>
        </w:rPr>
        <w:t xml:space="preserve">9.  The evaluation should be focused and succinct and its executive summary should be made available in the six official languages of the United Nations. </w:t>
      </w:r>
    </w:p>
    <w:p w14:paraId="69BED499" w14:textId="77777777" w:rsidR="00E5162E" w:rsidRPr="00171051" w:rsidRDefault="00E5162E" w:rsidP="00E5162E">
      <w:pPr>
        <w:rPr>
          <w:rFonts w:asciiTheme="majorBidi" w:hAnsiTheme="majorBidi" w:cstheme="majorBidi"/>
        </w:rPr>
      </w:pPr>
    </w:p>
    <w:p w14:paraId="58EEE173" w14:textId="77777777" w:rsidR="00E5162E" w:rsidRPr="00171051" w:rsidRDefault="00E5162E" w:rsidP="00E5162E">
      <w:pPr>
        <w:rPr>
          <w:rFonts w:asciiTheme="majorBidi" w:hAnsiTheme="majorBidi" w:cstheme="majorBidi"/>
        </w:rPr>
      </w:pPr>
    </w:p>
    <w:p w14:paraId="5F4BD9E2" w14:textId="77777777" w:rsidR="00E5162E" w:rsidRPr="00171051" w:rsidRDefault="00E5162E" w:rsidP="00E5162E">
      <w:pPr>
        <w:jc w:val="center"/>
        <w:rPr>
          <w:rFonts w:asciiTheme="majorBidi" w:hAnsiTheme="majorBidi" w:cstheme="majorBidi"/>
        </w:rPr>
      </w:pPr>
      <w:r w:rsidRPr="00171051">
        <w:rPr>
          <w:rFonts w:asciiTheme="majorBidi" w:hAnsiTheme="majorBidi" w:cstheme="majorBidi"/>
        </w:rPr>
        <w:t>___________________</w:t>
      </w:r>
    </w:p>
    <w:p w14:paraId="7BF29C86" w14:textId="77777777" w:rsidR="002D7BE3" w:rsidRPr="003B5B22" w:rsidRDefault="002D7BE3" w:rsidP="002D7BE3">
      <w:pPr>
        <w:rPr>
          <w:rFonts w:asciiTheme="majorBidi" w:hAnsiTheme="majorBidi" w:cstheme="majorBidi"/>
          <w:lang w:val="en-GB"/>
        </w:rPr>
      </w:pPr>
    </w:p>
    <w:sectPr w:rsidR="002D7BE3" w:rsidRPr="003B5B22" w:rsidSect="003B5B22">
      <w:headerReference w:type="default" r:id="rId9"/>
      <w:footerReference w:type="default" r:id="rId10"/>
      <w:footerReference w:type="first" r:id="rId11"/>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CBB28" w14:textId="77777777" w:rsidR="002F768F" w:rsidRDefault="002F768F" w:rsidP="00C21BA5">
      <w:pPr>
        <w:spacing w:after="0" w:line="240" w:lineRule="auto"/>
      </w:pPr>
      <w:r>
        <w:separator/>
      </w:r>
    </w:p>
  </w:endnote>
  <w:endnote w:type="continuationSeparator" w:id="0">
    <w:p w14:paraId="70C8F9E2" w14:textId="77777777" w:rsidR="002F768F" w:rsidRDefault="002F768F" w:rsidP="00C21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0148283"/>
      <w:docPartObj>
        <w:docPartGallery w:val="Page Numbers (Bottom of Page)"/>
        <w:docPartUnique/>
      </w:docPartObj>
    </w:sdtPr>
    <w:sdtEndPr>
      <w:rPr>
        <w:noProof/>
      </w:rPr>
    </w:sdtEndPr>
    <w:sdtContent>
      <w:p w14:paraId="157CA61B" w14:textId="77777777" w:rsidR="002105E8" w:rsidRDefault="002105E8">
        <w:pPr>
          <w:pStyle w:val="Footer"/>
          <w:jc w:val="center"/>
        </w:pPr>
        <w:r>
          <w:fldChar w:fldCharType="begin"/>
        </w:r>
        <w:r>
          <w:instrText xml:space="preserve"> PAGE   \* MERGEFORMAT </w:instrText>
        </w:r>
        <w:r>
          <w:fldChar w:fldCharType="separate"/>
        </w:r>
        <w:r w:rsidR="00130D3D">
          <w:rPr>
            <w:noProof/>
          </w:rPr>
          <w:t>10</w:t>
        </w:r>
        <w:r>
          <w:rPr>
            <w:noProof/>
          </w:rPr>
          <w:fldChar w:fldCharType="end"/>
        </w:r>
      </w:p>
    </w:sdtContent>
  </w:sdt>
  <w:p w14:paraId="69FD27F5" w14:textId="77777777" w:rsidR="002105E8" w:rsidRDefault="002105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52145" w14:textId="77777777" w:rsidR="002105E8" w:rsidRDefault="002105E8" w:rsidP="002105E8">
    <w:pPr>
      <w:pStyle w:val="Footer"/>
      <w:jc w:val="center"/>
    </w:pPr>
  </w:p>
  <w:p w14:paraId="0FCA0E37" w14:textId="77777777" w:rsidR="002105E8" w:rsidRDefault="002105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66911" w14:textId="77777777" w:rsidR="002F768F" w:rsidRDefault="002F768F" w:rsidP="00C21BA5">
      <w:pPr>
        <w:spacing w:after="0" w:line="240" w:lineRule="auto"/>
      </w:pPr>
      <w:r>
        <w:separator/>
      </w:r>
    </w:p>
  </w:footnote>
  <w:footnote w:type="continuationSeparator" w:id="0">
    <w:p w14:paraId="7D5D21FE" w14:textId="77777777" w:rsidR="002F768F" w:rsidRDefault="002F768F" w:rsidP="00C21BA5">
      <w:pPr>
        <w:spacing w:after="0" w:line="240" w:lineRule="auto"/>
      </w:pPr>
      <w:r>
        <w:continuationSeparator/>
      </w:r>
    </w:p>
  </w:footnote>
  <w:footnote w:id="1">
    <w:p w14:paraId="5C1CDB5C" w14:textId="77777777" w:rsidR="00C21BA5" w:rsidRDefault="00C21BA5" w:rsidP="00C21BA5">
      <w:pPr>
        <w:pStyle w:val="FootnoteText"/>
      </w:pPr>
      <w:r>
        <w:rPr>
          <w:szCs w:val="18"/>
        </w:rPr>
        <w:t>*</w:t>
      </w:r>
      <w:r w:rsidRPr="00E44BDD">
        <w:rPr>
          <w:szCs w:val="18"/>
        </w:rPr>
        <w:t>SAICM/ICCM.</w:t>
      </w:r>
      <w:r>
        <w:rPr>
          <w:szCs w:val="18"/>
        </w:rPr>
        <w:t>5</w:t>
      </w:r>
      <w:r w:rsidRPr="00E44BDD">
        <w:rPr>
          <w:szCs w:val="18"/>
        </w:rPr>
        <w:t>/Bureau.</w:t>
      </w:r>
      <w:r w:rsidR="002D7BE3">
        <w:rPr>
          <w:szCs w:val="18"/>
        </w:rPr>
        <w:t>2</w:t>
      </w:r>
      <w:r>
        <w:rPr>
          <w:szCs w:val="18"/>
        </w:rPr>
        <w:t>/</w:t>
      </w:r>
      <w:r w:rsidRPr="00E44BDD">
        <w:rPr>
          <w:szCs w:val="18"/>
        </w:rPr>
        <w:t>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8299A" w14:textId="77777777" w:rsidR="003B5B22" w:rsidRPr="002F4018" w:rsidRDefault="003B5B22" w:rsidP="00E5162E">
    <w:pPr>
      <w:pStyle w:val="Header"/>
      <w:pBdr>
        <w:bottom w:val="single" w:sz="4" w:space="1" w:color="auto"/>
      </w:pBdr>
      <w:rPr>
        <w:rFonts w:ascii="Times New Roman" w:hAnsi="Times New Roman" w:cs="Times New Roman"/>
        <w:b/>
        <w:sz w:val="18"/>
        <w:szCs w:val="18"/>
      </w:rPr>
    </w:pPr>
    <w:r w:rsidRPr="00934BC7">
      <w:rPr>
        <w:rFonts w:ascii="Times New Roman" w:hAnsi="Times New Roman" w:cs="Times New Roman"/>
        <w:b/>
        <w:sz w:val="18"/>
        <w:szCs w:val="18"/>
      </w:rPr>
      <w:t>SAICM/ICCM.5/Bureau.</w:t>
    </w:r>
    <w:r>
      <w:rPr>
        <w:rFonts w:ascii="Times New Roman" w:hAnsi="Times New Roman" w:cs="Times New Roman"/>
        <w:b/>
        <w:sz w:val="18"/>
        <w:szCs w:val="18"/>
      </w:rPr>
      <w:t>2</w:t>
    </w:r>
    <w:r w:rsidRPr="00934BC7">
      <w:rPr>
        <w:rFonts w:ascii="Times New Roman" w:hAnsi="Times New Roman" w:cs="Times New Roman"/>
        <w:b/>
        <w:sz w:val="18"/>
        <w:szCs w:val="18"/>
      </w:rPr>
      <w:t>/</w:t>
    </w:r>
    <w:r w:rsidR="00E5162E">
      <w:rPr>
        <w:rFonts w:ascii="Times New Roman" w:hAnsi="Times New Roman" w:cs="Times New Roman"/>
        <w:b/>
        <w:sz w:val="18"/>
        <w:szCs w:val="18"/>
      </w:rPr>
      <w:t>4</w:t>
    </w:r>
  </w:p>
  <w:p w14:paraId="6250C36C" w14:textId="77777777" w:rsidR="003B5B22" w:rsidRPr="003B5B22" w:rsidRDefault="003B5B22" w:rsidP="003B5B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0BC3"/>
    <w:multiLevelType w:val="hybridMultilevel"/>
    <w:tmpl w:val="DF0EB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B3D74"/>
    <w:multiLevelType w:val="hybridMultilevel"/>
    <w:tmpl w:val="B8588F02"/>
    <w:lvl w:ilvl="0" w:tplc="0809000F">
      <w:start w:val="1"/>
      <w:numFmt w:val="decimal"/>
      <w:lvlText w:val="%1."/>
      <w:lvlJc w:val="left"/>
      <w:pPr>
        <w:ind w:left="1993" w:hanging="360"/>
      </w:pPr>
    </w:lvl>
    <w:lvl w:ilvl="1" w:tplc="08090019" w:tentative="1">
      <w:start w:val="1"/>
      <w:numFmt w:val="lowerLetter"/>
      <w:lvlText w:val="%2."/>
      <w:lvlJc w:val="left"/>
      <w:pPr>
        <w:ind w:left="2713" w:hanging="360"/>
      </w:pPr>
    </w:lvl>
    <w:lvl w:ilvl="2" w:tplc="0809001B" w:tentative="1">
      <w:start w:val="1"/>
      <w:numFmt w:val="lowerRoman"/>
      <w:lvlText w:val="%3."/>
      <w:lvlJc w:val="right"/>
      <w:pPr>
        <w:ind w:left="3433" w:hanging="180"/>
      </w:pPr>
    </w:lvl>
    <w:lvl w:ilvl="3" w:tplc="0809000F" w:tentative="1">
      <w:start w:val="1"/>
      <w:numFmt w:val="decimal"/>
      <w:lvlText w:val="%4."/>
      <w:lvlJc w:val="left"/>
      <w:pPr>
        <w:ind w:left="4153" w:hanging="360"/>
      </w:pPr>
    </w:lvl>
    <w:lvl w:ilvl="4" w:tplc="08090019" w:tentative="1">
      <w:start w:val="1"/>
      <w:numFmt w:val="lowerLetter"/>
      <w:lvlText w:val="%5."/>
      <w:lvlJc w:val="left"/>
      <w:pPr>
        <w:ind w:left="4873" w:hanging="360"/>
      </w:pPr>
    </w:lvl>
    <w:lvl w:ilvl="5" w:tplc="0809001B" w:tentative="1">
      <w:start w:val="1"/>
      <w:numFmt w:val="lowerRoman"/>
      <w:lvlText w:val="%6."/>
      <w:lvlJc w:val="right"/>
      <w:pPr>
        <w:ind w:left="5593" w:hanging="180"/>
      </w:pPr>
    </w:lvl>
    <w:lvl w:ilvl="6" w:tplc="0809000F" w:tentative="1">
      <w:start w:val="1"/>
      <w:numFmt w:val="decimal"/>
      <w:lvlText w:val="%7."/>
      <w:lvlJc w:val="left"/>
      <w:pPr>
        <w:ind w:left="6313" w:hanging="360"/>
      </w:pPr>
    </w:lvl>
    <w:lvl w:ilvl="7" w:tplc="08090019" w:tentative="1">
      <w:start w:val="1"/>
      <w:numFmt w:val="lowerLetter"/>
      <w:lvlText w:val="%8."/>
      <w:lvlJc w:val="left"/>
      <w:pPr>
        <w:ind w:left="7033" w:hanging="360"/>
      </w:pPr>
    </w:lvl>
    <w:lvl w:ilvl="8" w:tplc="0809001B" w:tentative="1">
      <w:start w:val="1"/>
      <w:numFmt w:val="lowerRoman"/>
      <w:lvlText w:val="%9."/>
      <w:lvlJc w:val="right"/>
      <w:pPr>
        <w:ind w:left="7753" w:hanging="180"/>
      </w:pPr>
    </w:lvl>
  </w:abstractNum>
  <w:abstractNum w:abstractNumId="2" w15:restartNumberingAfterBreak="0">
    <w:nsid w:val="0F7941F2"/>
    <w:multiLevelType w:val="hybridMultilevel"/>
    <w:tmpl w:val="10F00F24"/>
    <w:lvl w:ilvl="0" w:tplc="4BD6DA18">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1A57EC"/>
    <w:multiLevelType w:val="hybridMultilevel"/>
    <w:tmpl w:val="A620B0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E3E7410"/>
    <w:multiLevelType w:val="hybridMultilevel"/>
    <w:tmpl w:val="E88E55F0"/>
    <w:lvl w:ilvl="0" w:tplc="03A4FE64">
      <w:start w:val="1"/>
      <w:numFmt w:val="decimal"/>
      <w:lvlText w:val="%1."/>
      <w:lvlJc w:val="left"/>
      <w:pPr>
        <w:ind w:left="1607" w:hanging="360"/>
      </w:pPr>
      <w:rPr>
        <w:rFonts w:ascii="Times New Roman" w:eastAsia="SimSun" w:hAnsi="Times New Roman" w:cs="Times New Roman"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5" w15:restartNumberingAfterBreak="0">
    <w:nsid w:val="1EC65B8A"/>
    <w:multiLevelType w:val="hybridMultilevel"/>
    <w:tmpl w:val="2ABCC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962F6"/>
    <w:multiLevelType w:val="hybridMultilevel"/>
    <w:tmpl w:val="94C82744"/>
    <w:lvl w:ilvl="0" w:tplc="04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A1B1F"/>
    <w:multiLevelType w:val="hybridMultilevel"/>
    <w:tmpl w:val="7100A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1E2757"/>
    <w:multiLevelType w:val="hybridMultilevel"/>
    <w:tmpl w:val="6C0EC44A"/>
    <w:lvl w:ilvl="0" w:tplc="4BD6DA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5BE66A3"/>
    <w:multiLevelType w:val="hybridMultilevel"/>
    <w:tmpl w:val="77963D3E"/>
    <w:lvl w:ilvl="0" w:tplc="4BD6DA18">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5CC1DCE"/>
    <w:multiLevelType w:val="hybridMultilevel"/>
    <w:tmpl w:val="404629C4"/>
    <w:lvl w:ilvl="0" w:tplc="08090011">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113C24"/>
    <w:multiLevelType w:val="hybridMultilevel"/>
    <w:tmpl w:val="C6B0E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F2CE9"/>
    <w:multiLevelType w:val="hybridMultilevel"/>
    <w:tmpl w:val="56E2A828"/>
    <w:lvl w:ilvl="0" w:tplc="04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9670B"/>
    <w:multiLevelType w:val="hybridMultilevel"/>
    <w:tmpl w:val="AAFC1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B96647"/>
    <w:multiLevelType w:val="hybridMultilevel"/>
    <w:tmpl w:val="B088CEE4"/>
    <w:lvl w:ilvl="0" w:tplc="832CC218">
      <w:start w:val="3"/>
      <w:numFmt w:val="lowerLetter"/>
      <w:lvlText w:val="(%1)"/>
      <w:lvlJc w:val="left"/>
      <w:pPr>
        <w:ind w:left="2178" w:hanging="360"/>
      </w:pPr>
    </w:lvl>
    <w:lvl w:ilvl="1" w:tplc="100C0019">
      <w:start w:val="1"/>
      <w:numFmt w:val="lowerLetter"/>
      <w:lvlText w:val="%2."/>
      <w:lvlJc w:val="left"/>
      <w:pPr>
        <w:ind w:left="2898" w:hanging="360"/>
      </w:pPr>
    </w:lvl>
    <w:lvl w:ilvl="2" w:tplc="100C001B">
      <w:start w:val="1"/>
      <w:numFmt w:val="lowerRoman"/>
      <w:lvlText w:val="%3."/>
      <w:lvlJc w:val="right"/>
      <w:pPr>
        <w:ind w:left="3618" w:hanging="180"/>
      </w:pPr>
    </w:lvl>
    <w:lvl w:ilvl="3" w:tplc="100C000F">
      <w:start w:val="1"/>
      <w:numFmt w:val="decimal"/>
      <w:lvlText w:val="%4."/>
      <w:lvlJc w:val="left"/>
      <w:pPr>
        <w:ind w:left="4338" w:hanging="360"/>
      </w:pPr>
    </w:lvl>
    <w:lvl w:ilvl="4" w:tplc="100C0019">
      <w:start w:val="1"/>
      <w:numFmt w:val="lowerLetter"/>
      <w:lvlText w:val="%5."/>
      <w:lvlJc w:val="left"/>
      <w:pPr>
        <w:ind w:left="5058" w:hanging="360"/>
      </w:pPr>
    </w:lvl>
    <w:lvl w:ilvl="5" w:tplc="100C001B">
      <w:start w:val="1"/>
      <w:numFmt w:val="lowerRoman"/>
      <w:lvlText w:val="%6."/>
      <w:lvlJc w:val="right"/>
      <w:pPr>
        <w:ind w:left="5778" w:hanging="180"/>
      </w:pPr>
    </w:lvl>
    <w:lvl w:ilvl="6" w:tplc="100C000F">
      <w:start w:val="1"/>
      <w:numFmt w:val="decimal"/>
      <w:lvlText w:val="%7."/>
      <w:lvlJc w:val="left"/>
      <w:pPr>
        <w:ind w:left="6498" w:hanging="360"/>
      </w:pPr>
    </w:lvl>
    <w:lvl w:ilvl="7" w:tplc="100C0019">
      <w:start w:val="1"/>
      <w:numFmt w:val="lowerLetter"/>
      <w:lvlText w:val="%8."/>
      <w:lvlJc w:val="left"/>
      <w:pPr>
        <w:ind w:left="7218" w:hanging="360"/>
      </w:pPr>
    </w:lvl>
    <w:lvl w:ilvl="8" w:tplc="100C001B">
      <w:start w:val="1"/>
      <w:numFmt w:val="lowerRoman"/>
      <w:lvlText w:val="%9."/>
      <w:lvlJc w:val="right"/>
      <w:pPr>
        <w:ind w:left="7938" w:hanging="180"/>
      </w:pPr>
    </w:lvl>
  </w:abstractNum>
  <w:abstractNum w:abstractNumId="15" w15:restartNumberingAfterBreak="0">
    <w:nsid w:val="470F47EB"/>
    <w:multiLevelType w:val="hybridMultilevel"/>
    <w:tmpl w:val="60946EFC"/>
    <w:lvl w:ilvl="0" w:tplc="969C6948">
      <w:start w:val="1"/>
      <w:numFmt w:val="decimal"/>
      <w:lvlText w:val="%1."/>
      <w:lvlJc w:val="left"/>
      <w:pPr>
        <w:ind w:left="1877" w:hanging="630"/>
      </w:pPr>
      <w:rPr>
        <w:rFonts w:hint="default"/>
      </w:rPr>
    </w:lvl>
    <w:lvl w:ilvl="1" w:tplc="08090019">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16" w15:restartNumberingAfterBreak="0">
    <w:nsid w:val="4BA66975"/>
    <w:multiLevelType w:val="hybridMultilevel"/>
    <w:tmpl w:val="80DE5614"/>
    <w:lvl w:ilvl="0" w:tplc="47A4AAAE">
      <w:start w:val="1"/>
      <w:numFmt w:val="upperLetter"/>
      <w:lvlText w:val="%1."/>
      <w:lvlJc w:val="left"/>
      <w:pPr>
        <w:ind w:left="1254" w:hanging="630"/>
      </w:pPr>
      <w:rPr>
        <w:rFonts w:hint="default"/>
      </w:rPr>
    </w:lvl>
    <w:lvl w:ilvl="1" w:tplc="08090019">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17" w15:restartNumberingAfterBreak="0">
    <w:nsid w:val="50593D44"/>
    <w:multiLevelType w:val="hybridMultilevel"/>
    <w:tmpl w:val="0FCC8768"/>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1F6349"/>
    <w:multiLevelType w:val="hybridMultilevel"/>
    <w:tmpl w:val="6C8EF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3F4F0D"/>
    <w:multiLevelType w:val="hybridMultilevel"/>
    <w:tmpl w:val="EB74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BF2D29"/>
    <w:multiLevelType w:val="hybridMultilevel"/>
    <w:tmpl w:val="B8588F02"/>
    <w:lvl w:ilvl="0" w:tplc="0809000F">
      <w:start w:val="1"/>
      <w:numFmt w:val="decimal"/>
      <w:lvlText w:val="%1."/>
      <w:lvlJc w:val="left"/>
      <w:pPr>
        <w:ind w:left="1993" w:hanging="360"/>
      </w:pPr>
    </w:lvl>
    <w:lvl w:ilvl="1" w:tplc="08090019" w:tentative="1">
      <w:start w:val="1"/>
      <w:numFmt w:val="lowerLetter"/>
      <w:lvlText w:val="%2."/>
      <w:lvlJc w:val="left"/>
      <w:pPr>
        <w:ind w:left="2713" w:hanging="360"/>
      </w:pPr>
    </w:lvl>
    <w:lvl w:ilvl="2" w:tplc="0809001B" w:tentative="1">
      <w:start w:val="1"/>
      <w:numFmt w:val="lowerRoman"/>
      <w:lvlText w:val="%3."/>
      <w:lvlJc w:val="right"/>
      <w:pPr>
        <w:ind w:left="3433" w:hanging="180"/>
      </w:pPr>
    </w:lvl>
    <w:lvl w:ilvl="3" w:tplc="0809000F" w:tentative="1">
      <w:start w:val="1"/>
      <w:numFmt w:val="decimal"/>
      <w:lvlText w:val="%4."/>
      <w:lvlJc w:val="left"/>
      <w:pPr>
        <w:ind w:left="4153" w:hanging="360"/>
      </w:pPr>
    </w:lvl>
    <w:lvl w:ilvl="4" w:tplc="08090019" w:tentative="1">
      <w:start w:val="1"/>
      <w:numFmt w:val="lowerLetter"/>
      <w:lvlText w:val="%5."/>
      <w:lvlJc w:val="left"/>
      <w:pPr>
        <w:ind w:left="4873" w:hanging="360"/>
      </w:pPr>
    </w:lvl>
    <w:lvl w:ilvl="5" w:tplc="0809001B" w:tentative="1">
      <w:start w:val="1"/>
      <w:numFmt w:val="lowerRoman"/>
      <w:lvlText w:val="%6."/>
      <w:lvlJc w:val="right"/>
      <w:pPr>
        <w:ind w:left="5593" w:hanging="180"/>
      </w:pPr>
    </w:lvl>
    <w:lvl w:ilvl="6" w:tplc="0809000F" w:tentative="1">
      <w:start w:val="1"/>
      <w:numFmt w:val="decimal"/>
      <w:lvlText w:val="%7."/>
      <w:lvlJc w:val="left"/>
      <w:pPr>
        <w:ind w:left="6313" w:hanging="360"/>
      </w:pPr>
    </w:lvl>
    <w:lvl w:ilvl="7" w:tplc="08090019" w:tentative="1">
      <w:start w:val="1"/>
      <w:numFmt w:val="lowerLetter"/>
      <w:lvlText w:val="%8."/>
      <w:lvlJc w:val="left"/>
      <w:pPr>
        <w:ind w:left="7033" w:hanging="360"/>
      </w:pPr>
    </w:lvl>
    <w:lvl w:ilvl="8" w:tplc="0809001B" w:tentative="1">
      <w:start w:val="1"/>
      <w:numFmt w:val="lowerRoman"/>
      <w:lvlText w:val="%9."/>
      <w:lvlJc w:val="right"/>
      <w:pPr>
        <w:ind w:left="7753" w:hanging="180"/>
      </w:pPr>
    </w:lvl>
  </w:abstractNum>
  <w:abstractNum w:abstractNumId="21" w15:restartNumberingAfterBreak="0">
    <w:nsid w:val="6BAD1DC0"/>
    <w:multiLevelType w:val="hybridMultilevel"/>
    <w:tmpl w:val="E592AA88"/>
    <w:lvl w:ilvl="0" w:tplc="84F2BFE4">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723E5"/>
    <w:multiLevelType w:val="hybridMultilevel"/>
    <w:tmpl w:val="EC94779C"/>
    <w:lvl w:ilvl="0" w:tplc="08090001">
      <w:start w:val="1"/>
      <w:numFmt w:val="bullet"/>
      <w:lvlText w:val=""/>
      <w:lvlJc w:val="left"/>
      <w:pPr>
        <w:ind w:left="360" w:hanging="360"/>
      </w:pPr>
      <w:rPr>
        <w:rFonts w:ascii="Symbol" w:hAnsi="Symbol" w:hint="default"/>
      </w:rPr>
    </w:lvl>
    <w:lvl w:ilvl="1" w:tplc="19E01B36">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D4B31DB"/>
    <w:multiLevelType w:val="hybridMultilevel"/>
    <w:tmpl w:val="D756AE08"/>
    <w:lvl w:ilvl="0" w:tplc="84F2BFE4">
      <w:start w:val="1"/>
      <w:numFmt w:val="lowerRoman"/>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20E09"/>
    <w:multiLevelType w:val="hybridMultilevel"/>
    <w:tmpl w:val="9EA0F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6431CF"/>
    <w:multiLevelType w:val="hybridMultilevel"/>
    <w:tmpl w:val="3C32B230"/>
    <w:lvl w:ilvl="0" w:tplc="08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C86696"/>
    <w:multiLevelType w:val="hybridMultilevel"/>
    <w:tmpl w:val="B46AF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B27729"/>
    <w:multiLevelType w:val="hybridMultilevel"/>
    <w:tmpl w:val="4E9E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5A45FF"/>
    <w:multiLevelType w:val="hybridMultilevel"/>
    <w:tmpl w:val="2FF2B4F6"/>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F4021A4"/>
    <w:multiLevelType w:val="hybridMultilevel"/>
    <w:tmpl w:val="A1B8A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8"/>
  </w:num>
  <w:num w:numId="2">
    <w:abstractNumId w:val="22"/>
  </w:num>
  <w:num w:numId="3">
    <w:abstractNumId w:val="13"/>
  </w:num>
  <w:num w:numId="4">
    <w:abstractNumId w:val="17"/>
  </w:num>
  <w:num w:numId="5">
    <w:abstractNumId w:val="3"/>
  </w:num>
  <w:num w:numId="6">
    <w:abstractNumId w:val="18"/>
  </w:num>
  <w:num w:numId="7">
    <w:abstractNumId w:val="29"/>
  </w:num>
  <w:num w:numId="8">
    <w:abstractNumId w:val="8"/>
  </w:num>
  <w:num w:numId="9">
    <w:abstractNumId w:val="2"/>
  </w:num>
  <w:num w:numId="10">
    <w:abstractNumId w:val="9"/>
  </w:num>
  <w:num w:numId="11">
    <w:abstractNumId w:val="10"/>
  </w:num>
  <w:num w:numId="12">
    <w:abstractNumId w:val="15"/>
  </w:num>
  <w:num w:numId="13">
    <w:abstractNumId w:val="4"/>
  </w:num>
  <w:num w:numId="14">
    <w:abstractNumId w:val="16"/>
  </w:num>
  <w:num w:numId="1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4"/>
  </w:num>
  <w:num w:numId="18">
    <w:abstractNumId w:val="20"/>
  </w:num>
  <w:num w:numId="19">
    <w:abstractNumId w:val="19"/>
  </w:num>
  <w:num w:numId="20">
    <w:abstractNumId w:val="7"/>
  </w:num>
  <w:num w:numId="21">
    <w:abstractNumId w:val="11"/>
  </w:num>
  <w:num w:numId="22">
    <w:abstractNumId w:val="26"/>
  </w:num>
  <w:num w:numId="23">
    <w:abstractNumId w:val="27"/>
  </w:num>
  <w:num w:numId="24">
    <w:abstractNumId w:val="0"/>
  </w:num>
  <w:num w:numId="25">
    <w:abstractNumId w:val="5"/>
  </w:num>
  <w:num w:numId="26">
    <w:abstractNumId w:val="23"/>
  </w:num>
  <w:num w:numId="27">
    <w:abstractNumId w:val="21"/>
  </w:num>
  <w:num w:numId="28">
    <w:abstractNumId w:val="6"/>
  </w:num>
  <w:num w:numId="29">
    <w:abstractNumId w:val="12"/>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BA5"/>
    <w:rsid w:val="000821EE"/>
    <w:rsid w:val="000B4705"/>
    <w:rsid w:val="000C0671"/>
    <w:rsid w:val="000C1137"/>
    <w:rsid w:val="00130D3D"/>
    <w:rsid w:val="002105E8"/>
    <w:rsid w:val="002D7BE3"/>
    <w:rsid w:val="002F4632"/>
    <w:rsid w:val="002F768F"/>
    <w:rsid w:val="00326E89"/>
    <w:rsid w:val="003B5B22"/>
    <w:rsid w:val="003C28BB"/>
    <w:rsid w:val="004160CE"/>
    <w:rsid w:val="00431C29"/>
    <w:rsid w:val="00457032"/>
    <w:rsid w:val="004F0DAF"/>
    <w:rsid w:val="005205D7"/>
    <w:rsid w:val="00593313"/>
    <w:rsid w:val="005C58E2"/>
    <w:rsid w:val="00646C79"/>
    <w:rsid w:val="006D3597"/>
    <w:rsid w:val="006E1AA3"/>
    <w:rsid w:val="00716205"/>
    <w:rsid w:val="007220C8"/>
    <w:rsid w:val="00724BBC"/>
    <w:rsid w:val="007B7E2C"/>
    <w:rsid w:val="007D6092"/>
    <w:rsid w:val="007F6B35"/>
    <w:rsid w:val="00845BE1"/>
    <w:rsid w:val="0084637C"/>
    <w:rsid w:val="008619D6"/>
    <w:rsid w:val="008F4757"/>
    <w:rsid w:val="0091799D"/>
    <w:rsid w:val="009F0E65"/>
    <w:rsid w:val="00A43B26"/>
    <w:rsid w:val="00A9404C"/>
    <w:rsid w:val="00AD023A"/>
    <w:rsid w:val="00B51BFF"/>
    <w:rsid w:val="00B740D9"/>
    <w:rsid w:val="00BB0971"/>
    <w:rsid w:val="00C21BA5"/>
    <w:rsid w:val="00C612C9"/>
    <w:rsid w:val="00CF4C6E"/>
    <w:rsid w:val="00D267E7"/>
    <w:rsid w:val="00D81132"/>
    <w:rsid w:val="00DB5AF3"/>
    <w:rsid w:val="00DE5B2B"/>
    <w:rsid w:val="00E5162E"/>
    <w:rsid w:val="00E67105"/>
    <w:rsid w:val="00E77DFE"/>
    <w:rsid w:val="00EF16F1"/>
    <w:rsid w:val="00F170A9"/>
    <w:rsid w:val="00F54EB8"/>
    <w:rsid w:val="00F634D5"/>
    <w:rsid w:val="00FB2C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61C8291"/>
  <w15:docId w15:val="{032EFC11-8F37-4D7F-874D-7DD995FA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BA5"/>
    <w:rPr>
      <w:rFonts w:ascii="Calibri" w:eastAsia="SimSun" w:hAnsi="Calibri" w:cs="Arial"/>
    </w:rPr>
  </w:style>
  <w:style w:type="paragraph" w:styleId="Heading1">
    <w:name w:val="heading 1"/>
    <w:basedOn w:val="Normal"/>
    <w:next w:val="Normal"/>
    <w:link w:val="Heading1Char"/>
    <w:uiPriority w:val="9"/>
    <w:qFormat/>
    <w:rsid w:val="007B7E2C"/>
    <w:pPr>
      <w:keepNext/>
      <w:keepLines/>
      <w:widowControl w:val="0"/>
      <w:spacing w:before="480" w:after="0" w:line="240" w:lineRule="atLeast"/>
      <w:jc w:val="both"/>
      <w:outlineLvl w:val="0"/>
    </w:pPr>
    <w:rPr>
      <w:rFonts w:asciiTheme="majorHAnsi" w:eastAsiaTheme="majorEastAsia" w:hAnsiTheme="majorHAnsi" w:cstheme="majorBidi"/>
      <w:b/>
      <w:bCs/>
      <w:color w:val="365F91" w:themeColor="accent1" w:themeShade="BF"/>
      <w:kern w:val="2"/>
      <w:sz w:val="28"/>
      <w:szCs w:val="28"/>
      <w:lang w:eastAsia="ja-JP"/>
    </w:rPr>
  </w:style>
  <w:style w:type="paragraph" w:styleId="Heading2">
    <w:name w:val="heading 2"/>
    <w:basedOn w:val="Normal"/>
    <w:next w:val="Normal"/>
    <w:link w:val="Heading2Char"/>
    <w:uiPriority w:val="99"/>
    <w:qFormat/>
    <w:rsid w:val="00C21BA5"/>
    <w:pPr>
      <w:keepNext/>
      <w:spacing w:before="240" w:after="60" w:line="240" w:lineRule="auto"/>
      <w:outlineLvl w:val="1"/>
    </w:pPr>
    <w:rPr>
      <w:rFonts w:ascii="Arial" w:eastAsia="MS Mincho" w:hAnsi="Arial"/>
      <w:b/>
      <w:bCs/>
      <w:i/>
      <w:iCs/>
      <w:sz w:val="28"/>
      <w:szCs w:val="28"/>
      <w:lang w:val="en-GB" w:eastAsia="en-US"/>
    </w:rPr>
  </w:style>
  <w:style w:type="paragraph" w:styleId="Heading3">
    <w:name w:val="heading 3"/>
    <w:basedOn w:val="Normal"/>
    <w:next w:val="Normal"/>
    <w:link w:val="Heading3Char"/>
    <w:uiPriority w:val="99"/>
    <w:qFormat/>
    <w:rsid w:val="00C21BA5"/>
    <w:pPr>
      <w:keepNext/>
      <w:spacing w:after="0" w:line="240" w:lineRule="auto"/>
      <w:outlineLvl w:val="2"/>
    </w:pPr>
    <w:rPr>
      <w:rFonts w:ascii="Univers" w:eastAsia="MS Mincho" w:hAnsi="Univers" w:cs="Times New Roman"/>
      <w:b/>
      <w:sz w:val="4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21BA5"/>
    <w:rPr>
      <w:rFonts w:ascii="Arial" w:eastAsia="MS Mincho" w:hAnsi="Arial" w:cs="Arial"/>
      <w:b/>
      <w:bCs/>
      <w:i/>
      <w:iCs/>
      <w:sz w:val="28"/>
      <w:szCs w:val="28"/>
      <w:lang w:val="en-GB" w:eastAsia="en-US"/>
    </w:rPr>
  </w:style>
  <w:style w:type="character" w:customStyle="1" w:styleId="Heading3Char">
    <w:name w:val="Heading 3 Char"/>
    <w:basedOn w:val="DefaultParagraphFont"/>
    <w:link w:val="Heading3"/>
    <w:uiPriority w:val="99"/>
    <w:rsid w:val="00C21BA5"/>
    <w:rPr>
      <w:rFonts w:ascii="Univers" w:eastAsia="MS Mincho" w:hAnsi="Univers" w:cs="Times New Roman"/>
      <w:b/>
      <w:sz w:val="40"/>
      <w:szCs w:val="20"/>
      <w:lang w:val="en-GB" w:eastAsia="en-US"/>
    </w:rPr>
  </w:style>
  <w:style w:type="paragraph" w:styleId="FootnoteText">
    <w:name w:val="footnote text"/>
    <w:aliases w:val="Geneva 9,Font: Geneva 9,Boston 10,f,DNV-FT,Footnote01"/>
    <w:basedOn w:val="Normal"/>
    <w:link w:val="FootnoteTextChar"/>
    <w:uiPriority w:val="99"/>
    <w:rsid w:val="00C21BA5"/>
    <w:pPr>
      <w:spacing w:after="0" w:line="240" w:lineRule="auto"/>
    </w:pPr>
    <w:rPr>
      <w:rFonts w:ascii="Times New Roman" w:hAnsi="Times New Roman" w:cs="Times New Roman"/>
      <w:sz w:val="20"/>
      <w:szCs w:val="20"/>
    </w:rPr>
  </w:style>
  <w:style w:type="character" w:customStyle="1" w:styleId="FootnoteTextChar">
    <w:name w:val="Footnote Text Char"/>
    <w:aliases w:val="Geneva 9 Char,Font: Geneva 9 Char,Boston 10 Char,f Char,DNV-FT Char,Footnote01 Char"/>
    <w:basedOn w:val="DefaultParagraphFont"/>
    <w:link w:val="FootnoteText"/>
    <w:uiPriority w:val="99"/>
    <w:rsid w:val="00C21BA5"/>
    <w:rPr>
      <w:rFonts w:ascii="Times New Roman" w:eastAsia="SimSun" w:hAnsi="Times New Roman" w:cs="Times New Roman"/>
      <w:sz w:val="20"/>
      <w:szCs w:val="20"/>
    </w:rPr>
  </w:style>
  <w:style w:type="paragraph" w:customStyle="1" w:styleId="BBTitle">
    <w:name w:val="BB_Title"/>
    <w:basedOn w:val="Normal"/>
    <w:uiPriority w:val="99"/>
    <w:rsid w:val="00C21BA5"/>
    <w:pPr>
      <w:keepNext/>
      <w:keepLines/>
      <w:suppressAutoHyphens/>
      <w:spacing w:before="320" w:after="240" w:line="240" w:lineRule="auto"/>
      <w:ind w:left="1247" w:right="567"/>
    </w:pPr>
    <w:rPr>
      <w:rFonts w:ascii="Times New Roman" w:hAnsi="Times New Roman" w:cs="Times New Roman"/>
      <w:b/>
      <w:sz w:val="28"/>
      <w:szCs w:val="28"/>
      <w:lang w:val="en-GB" w:eastAsia="en-US"/>
    </w:rPr>
  </w:style>
  <w:style w:type="paragraph" w:styleId="NormalWeb">
    <w:name w:val="Normal (Web)"/>
    <w:basedOn w:val="Normal"/>
    <w:uiPriority w:val="99"/>
    <w:semiHidden/>
    <w:unhideWhenUsed/>
    <w:rsid w:val="00C21BA5"/>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21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BA5"/>
    <w:rPr>
      <w:rFonts w:ascii="Tahoma" w:eastAsia="SimSun" w:hAnsi="Tahoma" w:cs="Tahoma"/>
      <w:sz w:val="16"/>
      <w:szCs w:val="16"/>
    </w:rPr>
  </w:style>
  <w:style w:type="paragraph" w:styleId="ListParagraph">
    <w:name w:val="List Paragraph"/>
    <w:basedOn w:val="Normal"/>
    <w:uiPriority w:val="99"/>
    <w:qFormat/>
    <w:rsid w:val="00C21BA5"/>
    <w:pPr>
      <w:ind w:left="720"/>
      <w:contextualSpacing/>
    </w:pPr>
  </w:style>
  <w:style w:type="paragraph" w:styleId="Header">
    <w:name w:val="header"/>
    <w:aliases w:val="#Header"/>
    <w:basedOn w:val="Normal"/>
    <w:link w:val="HeaderChar"/>
    <w:uiPriority w:val="99"/>
    <w:unhideWhenUsed/>
    <w:rsid w:val="000C0671"/>
    <w:pPr>
      <w:tabs>
        <w:tab w:val="center" w:pos="4513"/>
        <w:tab w:val="right" w:pos="9026"/>
      </w:tabs>
      <w:spacing w:after="0" w:line="240" w:lineRule="auto"/>
    </w:pPr>
  </w:style>
  <w:style w:type="character" w:customStyle="1" w:styleId="HeaderChar">
    <w:name w:val="Header Char"/>
    <w:aliases w:val="#Header Char"/>
    <w:basedOn w:val="DefaultParagraphFont"/>
    <w:link w:val="Header"/>
    <w:uiPriority w:val="99"/>
    <w:rsid w:val="000C0671"/>
    <w:rPr>
      <w:rFonts w:ascii="Calibri" w:eastAsia="SimSun" w:hAnsi="Calibri" w:cs="Arial"/>
    </w:rPr>
  </w:style>
  <w:style w:type="paragraph" w:styleId="Footer">
    <w:name w:val="footer"/>
    <w:basedOn w:val="Normal"/>
    <w:link w:val="FooterChar"/>
    <w:uiPriority w:val="99"/>
    <w:unhideWhenUsed/>
    <w:rsid w:val="000C0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671"/>
    <w:rPr>
      <w:rFonts w:ascii="Calibri" w:eastAsia="SimSun" w:hAnsi="Calibri" w:cs="Arial"/>
    </w:rPr>
  </w:style>
  <w:style w:type="character" w:customStyle="1" w:styleId="Heading1Char">
    <w:name w:val="Heading 1 Char"/>
    <w:basedOn w:val="DefaultParagraphFont"/>
    <w:link w:val="Heading1"/>
    <w:uiPriority w:val="9"/>
    <w:rsid w:val="007B7E2C"/>
    <w:rPr>
      <w:rFonts w:asciiTheme="majorHAnsi" w:eastAsiaTheme="majorEastAsia" w:hAnsiTheme="majorHAnsi" w:cstheme="majorBidi"/>
      <w:b/>
      <w:bCs/>
      <w:color w:val="365F91" w:themeColor="accent1" w:themeShade="BF"/>
      <w:kern w:val="2"/>
      <w:sz w:val="28"/>
      <w:szCs w:val="28"/>
      <w:lang w:eastAsia="ja-JP"/>
    </w:rPr>
  </w:style>
  <w:style w:type="character" w:styleId="FootnoteReference">
    <w:name w:val="footnote reference"/>
    <w:basedOn w:val="DefaultParagraphFont"/>
    <w:uiPriority w:val="99"/>
    <w:semiHidden/>
    <w:unhideWhenUsed/>
    <w:rsid w:val="007B7E2C"/>
    <w:rPr>
      <w:vertAlign w:val="superscript"/>
    </w:rPr>
  </w:style>
  <w:style w:type="paragraph" w:styleId="Title">
    <w:name w:val="Title"/>
    <w:basedOn w:val="Normal"/>
    <w:next w:val="Normal"/>
    <w:link w:val="TitleChar"/>
    <w:uiPriority w:val="10"/>
    <w:qFormat/>
    <w:rsid w:val="007B7E2C"/>
    <w:pPr>
      <w:widowControl w:val="0"/>
      <w:pBdr>
        <w:bottom w:val="single" w:sz="8" w:space="4" w:color="4F81BD" w:themeColor="accent1"/>
      </w:pBdr>
      <w:spacing w:before="120" w:after="300" w:line="240" w:lineRule="atLeast"/>
      <w:contextualSpacing/>
      <w:jc w:val="both"/>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7B7E2C"/>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7B7E2C"/>
    <w:pPr>
      <w:widowControl w:val="0"/>
      <w:numPr>
        <w:ilvl w:val="1"/>
      </w:numPr>
      <w:spacing w:before="120" w:after="0" w:line="240" w:lineRule="atLeast"/>
      <w:jc w:val="both"/>
    </w:pPr>
    <w:rPr>
      <w:rFonts w:asciiTheme="majorHAnsi" w:eastAsiaTheme="majorEastAsia" w:hAnsiTheme="majorHAnsi" w:cstheme="majorBidi"/>
      <w:i/>
      <w:iCs/>
      <w:color w:val="4F81BD" w:themeColor="accent1"/>
      <w:spacing w:val="15"/>
      <w:kern w:val="2"/>
      <w:sz w:val="24"/>
      <w:szCs w:val="24"/>
      <w:lang w:eastAsia="ja-JP"/>
    </w:rPr>
  </w:style>
  <w:style w:type="character" w:customStyle="1" w:styleId="SubtitleChar">
    <w:name w:val="Subtitle Char"/>
    <w:basedOn w:val="DefaultParagraphFont"/>
    <w:link w:val="Subtitle"/>
    <w:uiPriority w:val="11"/>
    <w:rsid w:val="007B7E2C"/>
    <w:rPr>
      <w:rFonts w:asciiTheme="majorHAnsi" w:eastAsiaTheme="majorEastAsia" w:hAnsiTheme="majorHAnsi" w:cstheme="majorBidi"/>
      <w:i/>
      <w:iCs/>
      <w:color w:val="4F81BD" w:themeColor="accent1"/>
      <w:spacing w:val="15"/>
      <w:kern w:val="2"/>
      <w:sz w:val="24"/>
      <w:szCs w:val="24"/>
      <w:lang w:eastAsia="ja-JP"/>
    </w:rPr>
  </w:style>
  <w:style w:type="table" w:styleId="TableGrid">
    <w:name w:val="Table Grid"/>
    <w:basedOn w:val="TableNormal"/>
    <w:uiPriority w:val="39"/>
    <w:rsid w:val="002D7B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Title">
    <w:name w:val="AA_Title"/>
    <w:basedOn w:val="Normal"/>
    <w:rsid w:val="00DE5B2B"/>
    <w:pPr>
      <w:keepNext/>
      <w:keepLines/>
      <w:tabs>
        <w:tab w:val="left" w:pos="1247"/>
        <w:tab w:val="left" w:pos="1814"/>
        <w:tab w:val="left" w:pos="2381"/>
        <w:tab w:val="left" w:pos="2948"/>
        <w:tab w:val="left" w:pos="3515"/>
      </w:tabs>
      <w:suppressAutoHyphens/>
      <w:spacing w:after="0" w:line="240" w:lineRule="auto"/>
      <w:ind w:right="3402"/>
    </w:pPr>
    <w:rPr>
      <w:rFonts w:ascii="Times New Roman" w:eastAsia="Times New Roman" w:hAnsi="Times New Roman" w:cs="Times New Roman"/>
      <w:b/>
      <w:sz w:val="20"/>
      <w:szCs w:val="20"/>
      <w:lang w:val="en-GB" w:eastAsia="en-US"/>
    </w:rPr>
  </w:style>
  <w:style w:type="paragraph" w:customStyle="1" w:styleId="Normalnumber">
    <w:name w:val="Normal_number"/>
    <w:basedOn w:val="Normal"/>
    <w:rsid w:val="00DE5B2B"/>
    <w:pPr>
      <w:tabs>
        <w:tab w:val="left" w:pos="1247"/>
        <w:tab w:val="left" w:pos="1814"/>
        <w:tab w:val="left" w:pos="2381"/>
        <w:tab w:val="left" w:pos="2948"/>
        <w:tab w:val="left" w:pos="3515"/>
      </w:tabs>
      <w:spacing w:after="120" w:line="240" w:lineRule="auto"/>
    </w:pPr>
    <w:rPr>
      <w:rFonts w:ascii="Times New Roman" w:eastAsia="Times New Roman" w:hAnsi="Times New Roman" w:cs="Times New Roman"/>
      <w:sz w:val="20"/>
      <w:szCs w:val="20"/>
      <w:lang w:val="en-GB" w:eastAsia="en-US"/>
    </w:rPr>
  </w:style>
  <w:style w:type="character" w:styleId="CommentReference">
    <w:name w:val="annotation reference"/>
    <w:basedOn w:val="DefaultParagraphFont"/>
    <w:uiPriority w:val="99"/>
    <w:semiHidden/>
    <w:unhideWhenUsed/>
    <w:rsid w:val="00E5162E"/>
    <w:rPr>
      <w:sz w:val="18"/>
      <w:szCs w:val="18"/>
    </w:rPr>
  </w:style>
  <w:style w:type="paragraph" w:styleId="CommentText">
    <w:name w:val="annotation text"/>
    <w:basedOn w:val="Normal"/>
    <w:link w:val="CommentTextChar"/>
    <w:uiPriority w:val="99"/>
    <w:unhideWhenUsed/>
    <w:rsid w:val="00E5162E"/>
    <w:pPr>
      <w:spacing w:after="0" w:line="240" w:lineRule="auto"/>
    </w:pPr>
    <w:rPr>
      <w:rFonts w:asciiTheme="minorHAnsi" w:eastAsiaTheme="minorEastAsia" w:hAnsiTheme="minorHAnsi" w:cstheme="minorBidi"/>
      <w:szCs w:val="24"/>
      <w:lang w:eastAsia="en-US"/>
    </w:rPr>
  </w:style>
  <w:style w:type="character" w:customStyle="1" w:styleId="CommentTextChar">
    <w:name w:val="Comment Text Char"/>
    <w:basedOn w:val="DefaultParagraphFont"/>
    <w:link w:val="CommentText"/>
    <w:uiPriority w:val="99"/>
    <w:rsid w:val="00E5162E"/>
    <w:rPr>
      <w:szCs w:val="24"/>
      <w:lang w:eastAsia="en-US"/>
    </w:rPr>
  </w:style>
  <w:style w:type="paragraph" w:customStyle="1" w:styleId="ZZAnxtitle">
    <w:name w:val="ZZ_Anx_title"/>
    <w:basedOn w:val="Normal"/>
    <w:rsid w:val="00E5162E"/>
    <w:pPr>
      <w:tabs>
        <w:tab w:val="left" w:pos="1247"/>
        <w:tab w:val="left" w:pos="1814"/>
        <w:tab w:val="left" w:pos="2381"/>
        <w:tab w:val="left" w:pos="2948"/>
        <w:tab w:val="left" w:pos="3515"/>
      </w:tabs>
      <w:spacing w:before="360" w:after="120" w:line="240" w:lineRule="auto"/>
      <w:ind w:left="1247"/>
    </w:pPr>
    <w:rPr>
      <w:rFonts w:ascii="Times New Roman" w:eastAsia="Times New Roman" w:hAnsi="Times New Roman" w:cs="Times New Roman"/>
      <w:b/>
      <w:bCs/>
      <w:sz w:val="28"/>
      <w:szCs w:val="26"/>
      <w:lang w:val="en-GB" w:eastAsia="en-US"/>
    </w:rPr>
  </w:style>
  <w:style w:type="paragraph" w:styleId="CommentSubject">
    <w:name w:val="annotation subject"/>
    <w:basedOn w:val="CommentText"/>
    <w:next w:val="CommentText"/>
    <w:link w:val="CommentSubjectChar"/>
    <w:uiPriority w:val="99"/>
    <w:semiHidden/>
    <w:unhideWhenUsed/>
    <w:rsid w:val="00457032"/>
    <w:pPr>
      <w:spacing w:after="200"/>
    </w:pPr>
    <w:rPr>
      <w:rFonts w:ascii="Calibri" w:eastAsia="SimSun" w:hAnsi="Calibri" w:cs="Arial"/>
      <w:b/>
      <w:bCs/>
      <w:sz w:val="20"/>
      <w:szCs w:val="20"/>
      <w:lang w:eastAsia="zh-CN"/>
    </w:rPr>
  </w:style>
  <w:style w:type="character" w:customStyle="1" w:styleId="CommentSubjectChar">
    <w:name w:val="Comment Subject Char"/>
    <w:basedOn w:val="CommentTextChar"/>
    <w:link w:val="CommentSubject"/>
    <w:uiPriority w:val="99"/>
    <w:semiHidden/>
    <w:rsid w:val="00457032"/>
    <w:rPr>
      <w:rFonts w:ascii="Calibri" w:eastAsia="SimSun" w:hAnsi="Calibri" w:cs="Arial"/>
      <w:b/>
      <w:bCs/>
      <w:sz w:val="20"/>
      <w:szCs w:val="20"/>
      <w:lang w:eastAsia="en-US"/>
    </w:rPr>
  </w:style>
  <w:style w:type="paragraph" w:styleId="Revision">
    <w:name w:val="Revision"/>
    <w:hidden/>
    <w:uiPriority w:val="99"/>
    <w:semiHidden/>
    <w:rsid w:val="00457032"/>
    <w:pPr>
      <w:spacing w:after="0" w:line="240" w:lineRule="auto"/>
    </w:pPr>
    <w:rPr>
      <w:rFonts w:ascii="Calibri" w:eastAsia="SimSu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3206</Words>
  <Characters>18276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United Nations Office at Geneva</Company>
  <LinksUpToDate>false</LinksUpToDate>
  <CharactersWithSpaces>21440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OMOTOLA</dc:creator>
  <cp:lastModifiedBy>KOEKKOEK</cp:lastModifiedBy>
  <cp:revision>2</cp:revision>
  <cp:lastPrinted>2016-11-22T14:46:00Z</cp:lastPrinted>
  <dcterms:created xsi:type="dcterms:W3CDTF">2016-11-23T08:46:00Z</dcterms:created>
  <dcterms:modified xsi:type="dcterms:W3CDTF">2016-11-23T08:46:00Z</dcterms:modified>
</cp:coreProperties>
</file>